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D1C0" w14:textId="40B79CC2" w:rsidR="00153DF4" w:rsidRDefault="00153DF4" w:rsidP="00153DF4">
      <w:pPr>
        <w:pStyle w:val="Kop1"/>
      </w:pPr>
      <w:r w:rsidRPr="00153DF4">
        <w:t>Actieprogramma Cultuur en taal</w:t>
      </w:r>
    </w:p>
    <w:p w14:paraId="5F058F3F" w14:textId="0F5270C8" w:rsidR="002D0C08" w:rsidRPr="002D0C08" w:rsidRDefault="002D0C08" w:rsidP="002D0C08">
      <w:r>
        <w:t>(Werkgroep professionali</w:t>
      </w:r>
      <w:r w:rsidR="00E01CF2">
        <w:t>s</w:t>
      </w:r>
      <w:r>
        <w:t>eren 2021</w:t>
      </w:r>
      <w:r w:rsidR="00E01CF2">
        <w:t>)</w:t>
      </w:r>
    </w:p>
    <w:p w14:paraId="092787F6" w14:textId="77777777" w:rsidR="00472F8F" w:rsidRPr="00153DF4" w:rsidRDefault="00472F8F" w:rsidP="00472F8F">
      <w:pPr>
        <w:pStyle w:val="Kop2"/>
      </w:pPr>
      <w:r w:rsidRPr="00153DF4">
        <w:t>Kader</w:t>
      </w:r>
    </w:p>
    <w:p w14:paraId="4C979FF7" w14:textId="77777777" w:rsidR="00472F8F" w:rsidRPr="008E211A" w:rsidRDefault="00472F8F" w:rsidP="00472F8F">
      <w:pPr>
        <w:pStyle w:val="Lijstalinea"/>
        <w:numPr>
          <w:ilvl w:val="0"/>
          <w:numId w:val="16"/>
        </w:numPr>
        <w:spacing w:after="160" w:line="240" w:lineRule="auto"/>
        <w:ind w:left="426"/>
        <w:rPr>
          <w:rFonts w:ascii="Verdana" w:hAnsi="Verdana"/>
          <w:sz w:val="20"/>
        </w:rPr>
      </w:pPr>
      <w:r w:rsidRPr="008E211A">
        <w:rPr>
          <w:rFonts w:ascii="Verdana" w:hAnsi="Verdana"/>
          <w:sz w:val="20"/>
        </w:rPr>
        <w:t>De inburgeraar heeft een inspanningsverplichting om Nederlands te willen leren en onderdeel te worden van onze samenleving</w:t>
      </w:r>
      <w:r>
        <w:rPr>
          <w:rFonts w:ascii="Verdana" w:hAnsi="Verdana"/>
          <w:sz w:val="20"/>
        </w:rPr>
        <w:t>. *</w:t>
      </w:r>
    </w:p>
    <w:p w14:paraId="6FE09806" w14:textId="77777777" w:rsidR="00472F8F" w:rsidRPr="008E211A" w:rsidRDefault="00472F8F" w:rsidP="00472F8F">
      <w:pPr>
        <w:pStyle w:val="Lijstalinea"/>
        <w:numPr>
          <w:ilvl w:val="0"/>
          <w:numId w:val="16"/>
        </w:numPr>
        <w:spacing w:after="160" w:line="240" w:lineRule="auto"/>
        <w:ind w:left="426"/>
        <w:rPr>
          <w:rFonts w:ascii="Verdana" w:hAnsi="Verdana"/>
          <w:sz w:val="20"/>
        </w:rPr>
      </w:pPr>
      <w:r w:rsidRPr="008E211A">
        <w:rPr>
          <w:rFonts w:ascii="Verdana" w:hAnsi="Verdana"/>
          <w:sz w:val="20"/>
        </w:rPr>
        <w:t>We verwachten dat de cliënt een actieve bijdrage levert aan de inburgering (wederkerigheid). Als dat niet het geval is dan heeft ondersteuning geen zin (afspraken maken over wat we dan doen)</w:t>
      </w:r>
      <w:r>
        <w:rPr>
          <w:rFonts w:ascii="Verdana" w:hAnsi="Verdana"/>
          <w:sz w:val="20"/>
        </w:rPr>
        <w:t>.</w:t>
      </w:r>
    </w:p>
    <w:p w14:paraId="16352175" w14:textId="77777777" w:rsidR="00472F8F" w:rsidRPr="008E211A" w:rsidRDefault="00472F8F" w:rsidP="00472F8F">
      <w:pPr>
        <w:pStyle w:val="Lijstalinea"/>
        <w:numPr>
          <w:ilvl w:val="0"/>
          <w:numId w:val="16"/>
        </w:numPr>
        <w:spacing w:after="160" w:line="240" w:lineRule="auto"/>
        <w:ind w:left="426"/>
        <w:rPr>
          <w:rFonts w:ascii="Verdana" w:hAnsi="Verdana"/>
          <w:sz w:val="20"/>
        </w:rPr>
      </w:pPr>
      <w:r w:rsidRPr="008E211A">
        <w:rPr>
          <w:rFonts w:ascii="Verdana" w:hAnsi="Verdana"/>
          <w:sz w:val="20"/>
        </w:rPr>
        <w:t>Een taalbarrière en zorgmijdend (geen hulpvraag), dat kunnen we niet handelen</w:t>
      </w:r>
      <w:r>
        <w:rPr>
          <w:rFonts w:ascii="Verdana" w:hAnsi="Verdana"/>
          <w:sz w:val="20"/>
        </w:rPr>
        <w:t>.</w:t>
      </w:r>
    </w:p>
    <w:p w14:paraId="0F5141F9" w14:textId="77777777" w:rsidR="00472F8F" w:rsidRPr="008E211A" w:rsidRDefault="00472F8F" w:rsidP="00472F8F">
      <w:pPr>
        <w:pStyle w:val="Lijstalinea"/>
        <w:numPr>
          <w:ilvl w:val="0"/>
          <w:numId w:val="16"/>
        </w:numPr>
        <w:spacing w:after="160"/>
        <w:ind w:left="426"/>
        <w:rPr>
          <w:rFonts w:ascii="Verdana" w:hAnsi="Verdana"/>
          <w:sz w:val="20"/>
        </w:rPr>
      </w:pPr>
      <w:r w:rsidRPr="008E211A">
        <w:rPr>
          <w:rFonts w:ascii="Verdana" w:hAnsi="Verdana"/>
          <w:sz w:val="20"/>
        </w:rPr>
        <w:t>Bij escalatie, veiligheidshuis</w:t>
      </w:r>
      <w:r>
        <w:rPr>
          <w:rFonts w:ascii="Verdana" w:hAnsi="Verdana"/>
          <w:sz w:val="20"/>
        </w:rPr>
        <w:t>.</w:t>
      </w:r>
    </w:p>
    <w:p w14:paraId="3B5CB756" w14:textId="77777777" w:rsidR="00472F8F" w:rsidRDefault="00472F8F" w:rsidP="00472F8F">
      <w:pPr>
        <w:pStyle w:val="Lijstalinea"/>
        <w:numPr>
          <w:ilvl w:val="0"/>
          <w:numId w:val="16"/>
        </w:numPr>
        <w:spacing w:after="160" w:line="240" w:lineRule="auto"/>
        <w:ind w:left="426"/>
        <w:rPr>
          <w:rFonts w:ascii="Verdana" w:hAnsi="Verdana"/>
          <w:sz w:val="20"/>
        </w:rPr>
      </w:pPr>
      <w:r w:rsidRPr="008E211A">
        <w:rPr>
          <w:rFonts w:ascii="Verdana" w:hAnsi="Verdana"/>
          <w:sz w:val="20"/>
        </w:rPr>
        <w:t>Bij complexe sociaal/psychische problematiek speelt cultuur een belangrijke rol. Begeleiders die de cultuur niet begrijpen, krijgen vaak geen contact. Man/vrouw speelt eveneens een rol bij het al dan niet accepteren van begeleiders. Er zijn dan begeleiders nodig die de taal spreken en de cultuur begrijpen. Als we die niet zelf in huis hebben, schakelen we een leverancier in (nadere afspraken over maken, ook over de financiering hiervan</w:t>
      </w:r>
      <w:r>
        <w:rPr>
          <w:rFonts w:ascii="Verdana" w:hAnsi="Verdana"/>
          <w:sz w:val="20"/>
        </w:rPr>
        <w:t>.</w:t>
      </w:r>
    </w:p>
    <w:p w14:paraId="6EF23BD3" w14:textId="77777777" w:rsidR="00472F8F" w:rsidRDefault="00472F8F" w:rsidP="00472F8F">
      <w:pPr>
        <w:spacing w:after="160" w:line="240" w:lineRule="auto"/>
        <w:rPr>
          <w:rFonts w:ascii="Verdana" w:hAnsi="Verdana"/>
          <w:sz w:val="20"/>
        </w:rPr>
      </w:pPr>
    </w:p>
    <w:p w14:paraId="5DEE08D5" w14:textId="77777777" w:rsidR="00472F8F" w:rsidRPr="00C60AED" w:rsidRDefault="00472F8F" w:rsidP="00472F8F">
      <w:pPr>
        <w:spacing w:after="160" w:line="240" w:lineRule="auto"/>
        <w:rPr>
          <w:rFonts w:ascii="Verdana" w:hAnsi="Verdana"/>
          <w:sz w:val="20"/>
        </w:rPr>
      </w:pPr>
      <w:r w:rsidRPr="00C60AED">
        <w:rPr>
          <w:rFonts w:ascii="Verdana" w:hAnsi="Verdana"/>
          <w:sz w:val="20"/>
        </w:rPr>
        <w:t>*</w:t>
      </w:r>
      <w:r>
        <w:rPr>
          <w:rFonts w:ascii="Verdana" w:hAnsi="Verdana"/>
          <w:sz w:val="20"/>
        </w:rPr>
        <w:t xml:space="preserve"> Sinds 2017 tekent iedere inburgeraar een participatieverklaring, waarmee hij of zij verklaart de Nederlandse grondwaarden te respecteren en actief deel te willen uitmaken van de maatschappij. De Nederlandse grondwaarden zijn; </w:t>
      </w:r>
      <w:r w:rsidRPr="00332E64">
        <w:rPr>
          <w:rFonts w:ascii="Verdana" w:hAnsi="Verdana"/>
          <w:sz w:val="20"/>
        </w:rPr>
        <w:t>vrijheid, gelijkwaardigheid, solidariteit en participatie.</w:t>
      </w:r>
    </w:p>
    <w:p w14:paraId="18A066C1" w14:textId="735222FB" w:rsidR="00153DF4" w:rsidRPr="00153DF4" w:rsidRDefault="00153DF4" w:rsidP="00153DF4">
      <w:pPr>
        <w:pStyle w:val="Kop2"/>
      </w:pPr>
      <w:r w:rsidRPr="00153DF4">
        <w:t>Wat kan STAND-BY doen</w:t>
      </w:r>
    </w:p>
    <w:tbl>
      <w:tblPr>
        <w:tblStyle w:val="Tabelraster1"/>
        <w:tblpPr w:leftFromText="141" w:rightFromText="141" w:vertAnchor="text" w:horzAnchor="margin" w:tblpY="69"/>
        <w:tblW w:w="0" w:type="auto"/>
        <w:tblLook w:val="04A0" w:firstRow="1" w:lastRow="0" w:firstColumn="1" w:lastColumn="0" w:noHBand="0" w:noVBand="1"/>
      </w:tblPr>
      <w:tblGrid>
        <w:gridCol w:w="5665"/>
        <w:gridCol w:w="4962"/>
        <w:gridCol w:w="1559"/>
        <w:gridCol w:w="1808"/>
      </w:tblGrid>
      <w:tr w:rsidR="00153DF4" w:rsidRPr="00153DF4" w14:paraId="25251C0D" w14:textId="77777777" w:rsidTr="008E211A">
        <w:tc>
          <w:tcPr>
            <w:tcW w:w="5665" w:type="dxa"/>
            <w:shd w:val="clear" w:color="auto" w:fill="FFC000" w:themeFill="accent4"/>
          </w:tcPr>
          <w:p w14:paraId="5C92AFD6" w14:textId="77777777" w:rsidR="00153DF4" w:rsidRPr="00153DF4" w:rsidRDefault="00153DF4" w:rsidP="00153DF4">
            <w:pPr>
              <w:rPr>
                <w:rFonts w:asciiTheme="minorHAnsi" w:hAnsiTheme="minorHAnsi"/>
                <w:b/>
                <w:bCs/>
                <w:sz w:val="24"/>
                <w:szCs w:val="24"/>
              </w:rPr>
            </w:pPr>
            <w:r w:rsidRPr="00153DF4">
              <w:rPr>
                <w:rFonts w:asciiTheme="minorHAnsi" w:hAnsiTheme="minorHAnsi"/>
                <w:b/>
                <w:bCs/>
                <w:sz w:val="24"/>
                <w:szCs w:val="24"/>
              </w:rPr>
              <w:t>Wat</w:t>
            </w:r>
          </w:p>
        </w:tc>
        <w:tc>
          <w:tcPr>
            <w:tcW w:w="4962" w:type="dxa"/>
            <w:shd w:val="clear" w:color="auto" w:fill="FFC000" w:themeFill="accent4"/>
          </w:tcPr>
          <w:p w14:paraId="027087A7" w14:textId="77777777" w:rsidR="00153DF4" w:rsidRPr="00153DF4" w:rsidRDefault="00153DF4" w:rsidP="00153DF4">
            <w:pPr>
              <w:rPr>
                <w:rFonts w:asciiTheme="minorHAnsi" w:hAnsiTheme="minorHAnsi"/>
                <w:b/>
                <w:bCs/>
                <w:sz w:val="24"/>
                <w:szCs w:val="24"/>
              </w:rPr>
            </w:pPr>
            <w:r w:rsidRPr="00153DF4">
              <w:rPr>
                <w:rFonts w:asciiTheme="minorHAnsi" w:hAnsiTheme="minorHAnsi"/>
                <w:b/>
                <w:bCs/>
                <w:sz w:val="24"/>
                <w:szCs w:val="24"/>
              </w:rPr>
              <w:t>Hoe</w:t>
            </w:r>
          </w:p>
        </w:tc>
        <w:tc>
          <w:tcPr>
            <w:tcW w:w="1559" w:type="dxa"/>
            <w:shd w:val="clear" w:color="auto" w:fill="FFC000" w:themeFill="accent4"/>
          </w:tcPr>
          <w:p w14:paraId="3210BC27" w14:textId="77777777" w:rsidR="00153DF4" w:rsidRPr="00153DF4" w:rsidRDefault="00153DF4" w:rsidP="00153DF4">
            <w:pPr>
              <w:rPr>
                <w:rFonts w:asciiTheme="minorHAnsi" w:hAnsiTheme="minorHAnsi"/>
                <w:b/>
                <w:bCs/>
                <w:sz w:val="24"/>
                <w:szCs w:val="24"/>
              </w:rPr>
            </w:pPr>
            <w:r w:rsidRPr="00153DF4">
              <w:rPr>
                <w:rFonts w:asciiTheme="minorHAnsi" w:hAnsiTheme="minorHAnsi"/>
                <w:b/>
                <w:bCs/>
                <w:sz w:val="24"/>
                <w:szCs w:val="24"/>
              </w:rPr>
              <w:t>Wie</w:t>
            </w:r>
          </w:p>
        </w:tc>
        <w:tc>
          <w:tcPr>
            <w:tcW w:w="1808" w:type="dxa"/>
            <w:shd w:val="clear" w:color="auto" w:fill="FFC000" w:themeFill="accent4"/>
          </w:tcPr>
          <w:p w14:paraId="470EFDA2" w14:textId="77777777" w:rsidR="00153DF4" w:rsidRPr="00153DF4" w:rsidRDefault="00153DF4" w:rsidP="00153DF4">
            <w:pPr>
              <w:rPr>
                <w:rFonts w:asciiTheme="minorHAnsi" w:hAnsiTheme="minorHAnsi"/>
                <w:b/>
                <w:bCs/>
                <w:sz w:val="24"/>
                <w:szCs w:val="24"/>
              </w:rPr>
            </w:pPr>
            <w:r w:rsidRPr="00153DF4">
              <w:rPr>
                <w:rFonts w:asciiTheme="minorHAnsi" w:hAnsiTheme="minorHAnsi"/>
                <w:b/>
                <w:bCs/>
                <w:sz w:val="24"/>
                <w:szCs w:val="24"/>
              </w:rPr>
              <w:t>Wanneer</w:t>
            </w:r>
          </w:p>
        </w:tc>
      </w:tr>
      <w:tr w:rsidR="008E211A" w:rsidRPr="00153DF4" w14:paraId="37002121" w14:textId="77777777" w:rsidTr="008E211A">
        <w:tc>
          <w:tcPr>
            <w:tcW w:w="5665" w:type="dxa"/>
          </w:tcPr>
          <w:p w14:paraId="19B3F8F3" w14:textId="77777777" w:rsidR="008E211A" w:rsidRDefault="008E211A" w:rsidP="00153DF4">
            <w:pPr>
              <w:rPr>
                <w:rFonts w:ascii="Verdana" w:hAnsi="Verdana"/>
                <w:sz w:val="20"/>
              </w:rPr>
            </w:pPr>
            <w:r>
              <w:rPr>
                <w:rFonts w:ascii="Verdana" w:hAnsi="Verdana"/>
                <w:sz w:val="20"/>
              </w:rPr>
              <w:t>Thema beleggen bij een aandachtsfunctionaris (1 per gebied)</w:t>
            </w:r>
          </w:p>
          <w:p w14:paraId="2829FEB9" w14:textId="6BBF01C6" w:rsidR="00E01CF2" w:rsidRPr="00153DF4" w:rsidRDefault="00E01CF2" w:rsidP="00153DF4">
            <w:pPr>
              <w:rPr>
                <w:rFonts w:ascii="Verdana" w:hAnsi="Verdana"/>
                <w:sz w:val="20"/>
              </w:rPr>
            </w:pPr>
          </w:p>
        </w:tc>
        <w:tc>
          <w:tcPr>
            <w:tcW w:w="4962" w:type="dxa"/>
          </w:tcPr>
          <w:p w14:paraId="6E1DBE98" w14:textId="07D47404" w:rsidR="008E211A" w:rsidRPr="4C1FB0FF" w:rsidRDefault="008E211A" w:rsidP="008E211A">
            <w:pPr>
              <w:contextualSpacing/>
              <w:rPr>
                <w:rFonts w:ascii="Verdana" w:hAnsi="Verdana"/>
                <w:sz w:val="20"/>
              </w:rPr>
            </w:pPr>
            <w:r>
              <w:rPr>
                <w:rFonts w:ascii="Verdana" w:hAnsi="Verdana"/>
                <w:sz w:val="20"/>
              </w:rPr>
              <w:t>Bespreken in MT</w:t>
            </w:r>
          </w:p>
        </w:tc>
        <w:tc>
          <w:tcPr>
            <w:tcW w:w="1559" w:type="dxa"/>
          </w:tcPr>
          <w:p w14:paraId="0625C0B0" w14:textId="714208D7" w:rsidR="008E211A" w:rsidRPr="00153DF4" w:rsidRDefault="008E211A" w:rsidP="00153DF4">
            <w:pPr>
              <w:rPr>
                <w:rFonts w:ascii="Verdana" w:hAnsi="Verdana"/>
                <w:sz w:val="20"/>
              </w:rPr>
            </w:pPr>
            <w:r>
              <w:rPr>
                <w:rFonts w:ascii="Verdana" w:hAnsi="Verdana"/>
                <w:sz w:val="20"/>
              </w:rPr>
              <w:t>MT</w:t>
            </w:r>
          </w:p>
        </w:tc>
        <w:tc>
          <w:tcPr>
            <w:tcW w:w="1808" w:type="dxa"/>
          </w:tcPr>
          <w:p w14:paraId="715DCFF7" w14:textId="77777777" w:rsidR="008E211A" w:rsidRPr="00153DF4" w:rsidRDefault="008E211A" w:rsidP="00153DF4">
            <w:pPr>
              <w:rPr>
                <w:rFonts w:ascii="Verdana" w:hAnsi="Verdana"/>
                <w:sz w:val="20"/>
              </w:rPr>
            </w:pPr>
          </w:p>
        </w:tc>
      </w:tr>
      <w:tr w:rsidR="00153DF4" w:rsidRPr="00153DF4" w14:paraId="0D4375F1" w14:textId="77777777" w:rsidTr="008E211A">
        <w:tc>
          <w:tcPr>
            <w:tcW w:w="5665" w:type="dxa"/>
          </w:tcPr>
          <w:p w14:paraId="32E686CF" w14:textId="42BCB75C" w:rsidR="00153DF4" w:rsidRPr="00153DF4" w:rsidRDefault="00153DF4" w:rsidP="4C1FB0FF">
            <w:pPr>
              <w:rPr>
                <w:rFonts w:ascii="Verdana" w:hAnsi="Verdana"/>
                <w:sz w:val="20"/>
              </w:rPr>
            </w:pPr>
            <w:r w:rsidRPr="00153DF4">
              <w:rPr>
                <w:rFonts w:ascii="Verdana" w:hAnsi="Verdana"/>
                <w:sz w:val="20"/>
              </w:rPr>
              <w:t xml:space="preserve">Scholing interculturele communicatie en intercultureel werken voor </w:t>
            </w:r>
            <w:r w:rsidR="008E211A">
              <w:rPr>
                <w:rFonts w:ascii="Verdana" w:hAnsi="Verdana"/>
                <w:sz w:val="20"/>
              </w:rPr>
              <w:t>aandachtsfunctionaris</w:t>
            </w:r>
          </w:p>
          <w:p w14:paraId="706475BB" w14:textId="07EFD0CC" w:rsidR="00153DF4" w:rsidRPr="00153DF4" w:rsidRDefault="00153DF4" w:rsidP="4C1FB0FF">
            <w:pPr>
              <w:rPr>
                <w:rFonts w:eastAsia="Calibri"/>
                <w:szCs w:val="22"/>
              </w:rPr>
            </w:pPr>
          </w:p>
        </w:tc>
        <w:tc>
          <w:tcPr>
            <w:tcW w:w="4962" w:type="dxa"/>
          </w:tcPr>
          <w:p w14:paraId="59058C9B" w14:textId="77777777" w:rsidR="00153DF4" w:rsidRPr="00153DF4" w:rsidRDefault="00153DF4" w:rsidP="008E211A">
            <w:pPr>
              <w:contextualSpacing/>
              <w:rPr>
                <w:rFonts w:ascii="Verdana" w:hAnsi="Verdana"/>
                <w:sz w:val="20"/>
              </w:rPr>
            </w:pPr>
            <w:r w:rsidRPr="4C1FB0FF">
              <w:rPr>
                <w:rFonts w:ascii="Verdana" w:hAnsi="Verdana"/>
                <w:sz w:val="20"/>
              </w:rPr>
              <w:t>Opnemen in scholingsprogramma</w:t>
            </w:r>
          </w:p>
          <w:p w14:paraId="5B781616" w14:textId="67BC911B" w:rsidR="00153DF4" w:rsidRPr="00153DF4" w:rsidRDefault="00153DF4" w:rsidP="4C1FB0FF">
            <w:pPr>
              <w:contextualSpacing/>
              <w:rPr>
                <w:rFonts w:ascii="Verdana" w:hAnsi="Verdana"/>
                <w:sz w:val="20"/>
              </w:rPr>
            </w:pPr>
          </w:p>
        </w:tc>
        <w:tc>
          <w:tcPr>
            <w:tcW w:w="1559" w:type="dxa"/>
          </w:tcPr>
          <w:p w14:paraId="28F42136" w14:textId="77777777" w:rsidR="00153DF4" w:rsidRPr="00153DF4" w:rsidRDefault="00153DF4" w:rsidP="00153DF4">
            <w:pPr>
              <w:rPr>
                <w:rFonts w:ascii="Verdana" w:hAnsi="Verdana"/>
                <w:sz w:val="20"/>
              </w:rPr>
            </w:pPr>
            <w:r w:rsidRPr="00153DF4">
              <w:rPr>
                <w:rFonts w:ascii="Verdana" w:hAnsi="Verdana"/>
                <w:sz w:val="20"/>
              </w:rPr>
              <w:t>Staf</w:t>
            </w:r>
          </w:p>
        </w:tc>
        <w:tc>
          <w:tcPr>
            <w:tcW w:w="1808" w:type="dxa"/>
          </w:tcPr>
          <w:p w14:paraId="38AAD894" w14:textId="77777777" w:rsidR="00153DF4" w:rsidRPr="00153DF4" w:rsidRDefault="00153DF4" w:rsidP="00153DF4">
            <w:pPr>
              <w:rPr>
                <w:rFonts w:ascii="Verdana" w:hAnsi="Verdana"/>
                <w:sz w:val="20"/>
              </w:rPr>
            </w:pPr>
            <w:r w:rsidRPr="00153DF4">
              <w:rPr>
                <w:rFonts w:ascii="Verdana" w:hAnsi="Verdana"/>
                <w:sz w:val="20"/>
              </w:rPr>
              <w:t>Voorjaar 2022</w:t>
            </w:r>
          </w:p>
        </w:tc>
      </w:tr>
      <w:tr w:rsidR="00153DF4" w:rsidRPr="00153DF4" w14:paraId="192A9A76" w14:textId="77777777" w:rsidTr="008E211A">
        <w:tc>
          <w:tcPr>
            <w:tcW w:w="5665" w:type="dxa"/>
          </w:tcPr>
          <w:p w14:paraId="70105FA9" w14:textId="77777777" w:rsidR="00153DF4" w:rsidRPr="00153DF4" w:rsidRDefault="00153DF4" w:rsidP="00153DF4">
            <w:pPr>
              <w:ind w:left="22"/>
              <w:rPr>
                <w:rFonts w:ascii="Verdana" w:hAnsi="Verdana"/>
                <w:sz w:val="20"/>
              </w:rPr>
            </w:pPr>
            <w:r w:rsidRPr="00153DF4">
              <w:rPr>
                <w:rFonts w:ascii="Verdana" w:hAnsi="Verdana"/>
                <w:sz w:val="20"/>
              </w:rPr>
              <w:t>Beschikbaarheid van tolken regelen bij enkelvoudige en praktische problemen  (tolken zijn niet geschikt bij begeleiding complexe sociaal/psychische problematiek)</w:t>
            </w:r>
          </w:p>
          <w:p w14:paraId="3F32D0AE" w14:textId="77777777" w:rsidR="00153DF4" w:rsidRPr="00153DF4" w:rsidRDefault="00153DF4" w:rsidP="00153DF4">
            <w:pPr>
              <w:rPr>
                <w:rFonts w:ascii="Verdana" w:hAnsi="Verdana"/>
                <w:sz w:val="20"/>
              </w:rPr>
            </w:pPr>
          </w:p>
        </w:tc>
        <w:tc>
          <w:tcPr>
            <w:tcW w:w="4962" w:type="dxa"/>
          </w:tcPr>
          <w:p w14:paraId="1B7C6779" w14:textId="237A57CE" w:rsidR="00153DF4" w:rsidRPr="00153DF4" w:rsidRDefault="273092B2" w:rsidP="008E211A">
            <w:pPr>
              <w:ind w:left="38"/>
              <w:contextualSpacing/>
              <w:rPr>
                <w:rFonts w:eastAsia="Calibri"/>
                <w:szCs w:val="22"/>
              </w:rPr>
            </w:pPr>
            <w:r w:rsidRPr="4C1FB0FF">
              <w:rPr>
                <w:rFonts w:ascii="Verdana" w:eastAsia="Calibri" w:hAnsi="Verdana"/>
                <w:sz w:val="20"/>
              </w:rPr>
              <w:lastRenderedPageBreak/>
              <w:t xml:space="preserve">Beleid ontwikkelen wanneer we een tolk </w:t>
            </w:r>
            <w:r w:rsidR="2E308913" w:rsidRPr="4C1FB0FF">
              <w:rPr>
                <w:rFonts w:ascii="Verdana" w:eastAsia="Calibri" w:hAnsi="Verdana"/>
                <w:sz w:val="20"/>
              </w:rPr>
              <w:t>inzetten</w:t>
            </w:r>
          </w:p>
        </w:tc>
        <w:tc>
          <w:tcPr>
            <w:tcW w:w="1559" w:type="dxa"/>
          </w:tcPr>
          <w:p w14:paraId="0E9A52A5" w14:textId="3DBC7607" w:rsidR="00153DF4" w:rsidRPr="00153DF4" w:rsidRDefault="008E211A" w:rsidP="00153DF4">
            <w:pPr>
              <w:rPr>
                <w:rFonts w:ascii="Verdana" w:hAnsi="Verdana"/>
                <w:sz w:val="20"/>
              </w:rPr>
            </w:pPr>
            <w:r>
              <w:rPr>
                <w:rFonts w:ascii="Verdana" w:hAnsi="Verdana"/>
                <w:sz w:val="20"/>
              </w:rPr>
              <w:t>Staf en MT</w:t>
            </w:r>
          </w:p>
        </w:tc>
        <w:tc>
          <w:tcPr>
            <w:tcW w:w="1808" w:type="dxa"/>
          </w:tcPr>
          <w:p w14:paraId="51613492" w14:textId="77777777" w:rsidR="00153DF4" w:rsidRPr="00153DF4" w:rsidRDefault="00153DF4" w:rsidP="00153DF4">
            <w:pPr>
              <w:rPr>
                <w:rFonts w:ascii="Verdana" w:hAnsi="Verdana"/>
                <w:sz w:val="20"/>
              </w:rPr>
            </w:pPr>
          </w:p>
        </w:tc>
      </w:tr>
      <w:tr w:rsidR="00153DF4" w:rsidRPr="00153DF4" w14:paraId="64DADBD3" w14:textId="77777777" w:rsidTr="008E211A">
        <w:trPr>
          <w:trHeight w:val="555"/>
        </w:trPr>
        <w:tc>
          <w:tcPr>
            <w:tcW w:w="5665" w:type="dxa"/>
          </w:tcPr>
          <w:p w14:paraId="6A9E1AD4" w14:textId="4455AA8A" w:rsidR="00153DF4" w:rsidRPr="00153DF4" w:rsidRDefault="00153DF4" w:rsidP="4C1FB0FF">
            <w:pPr>
              <w:rPr>
                <w:rFonts w:ascii="Verdana" w:hAnsi="Verdana"/>
                <w:sz w:val="20"/>
              </w:rPr>
            </w:pPr>
            <w:r w:rsidRPr="4C1FB0FF">
              <w:rPr>
                <w:rFonts w:ascii="Verdana" w:hAnsi="Verdana"/>
                <w:sz w:val="20"/>
              </w:rPr>
              <w:t xml:space="preserve">Intensief samenwerken met Vluchtelingenwerk t.a.v. inburgeraars die in Heerlen geplaatst worden. </w:t>
            </w:r>
          </w:p>
          <w:p w14:paraId="7A9DE29B" w14:textId="1FD85F5C" w:rsidR="00153DF4" w:rsidRPr="00153DF4" w:rsidRDefault="5A25DD3A" w:rsidP="4C1FB0FF">
            <w:pPr>
              <w:rPr>
                <w:rFonts w:ascii="Verdana" w:hAnsi="Verdana"/>
                <w:sz w:val="20"/>
              </w:rPr>
            </w:pPr>
            <w:r w:rsidRPr="4C1FB0FF">
              <w:rPr>
                <w:rFonts w:ascii="Verdana" w:hAnsi="Verdana"/>
                <w:sz w:val="20"/>
              </w:rPr>
              <w:t>Bij plaatsing in de buurt meteen opvang en ondersteuning in de buurt regelen (zoals bijv. het project in Heerlerheide) waardoor inburgeraars beter integreren.</w:t>
            </w:r>
          </w:p>
          <w:p w14:paraId="1274570B" w14:textId="7C853C1E" w:rsidR="00153DF4" w:rsidRPr="00153DF4" w:rsidRDefault="00153DF4" w:rsidP="4C1FB0FF">
            <w:pPr>
              <w:rPr>
                <w:rFonts w:eastAsia="Calibri"/>
                <w:szCs w:val="22"/>
              </w:rPr>
            </w:pPr>
          </w:p>
        </w:tc>
        <w:tc>
          <w:tcPr>
            <w:tcW w:w="4962" w:type="dxa"/>
          </w:tcPr>
          <w:p w14:paraId="143C00FD" w14:textId="7189443D" w:rsidR="00153DF4" w:rsidRPr="00153DF4" w:rsidRDefault="5A25DD3A" w:rsidP="008E211A">
            <w:pPr>
              <w:ind w:left="38"/>
              <w:contextualSpacing/>
              <w:rPr>
                <w:rFonts w:ascii="Verdana" w:hAnsi="Verdana"/>
                <w:sz w:val="20"/>
              </w:rPr>
            </w:pPr>
            <w:r w:rsidRPr="4C1FB0FF">
              <w:rPr>
                <w:rFonts w:ascii="Verdana" w:hAnsi="Verdana"/>
                <w:sz w:val="20"/>
              </w:rPr>
              <w:t>Samen met aandachtsfunctionarissen uitrollen</w:t>
            </w:r>
          </w:p>
        </w:tc>
        <w:tc>
          <w:tcPr>
            <w:tcW w:w="1559" w:type="dxa"/>
          </w:tcPr>
          <w:p w14:paraId="5CFEA208" w14:textId="10ECD008" w:rsidR="00153DF4" w:rsidRPr="00153DF4" w:rsidRDefault="008E211A" w:rsidP="00153DF4">
            <w:pPr>
              <w:rPr>
                <w:rFonts w:ascii="Verdana" w:hAnsi="Verdana"/>
                <w:sz w:val="20"/>
              </w:rPr>
            </w:pPr>
            <w:r>
              <w:rPr>
                <w:rFonts w:ascii="Verdana" w:hAnsi="Verdana"/>
                <w:sz w:val="20"/>
              </w:rPr>
              <w:t>AF’s en MT</w:t>
            </w:r>
          </w:p>
        </w:tc>
        <w:tc>
          <w:tcPr>
            <w:tcW w:w="1808" w:type="dxa"/>
          </w:tcPr>
          <w:p w14:paraId="2F9AE89F" w14:textId="77777777" w:rsidR="00153DF4" w:rsidRPr="00153DF4" w:rsidRDefault="00153DF4" w:rsidP="00153DF4">
            <w:pPr>
              <w:rPr>
                <w:rFonts w:ascii="Verdana" w:hAnsi="Verdana"/>
                <w:sz w:val="20"/>
              </w:rPr>
            </w:pPr>
          </w:p>
        </w:tc>
      </w:tr>
      <w:tr w:rsidR="00153DF4" w:rsidRPr="00153DF4" w14:paraId="41455EBD" w14:textId="77777777" w:rsidTr="008E211A">
        <w:tc>
          <w:tcPr>
            <w:tcW w:w="5665" w:type="dxa"/>
          </w:tcPr>
          <w:p w14:paraId="4BA07B7E" w14:textId="77777777" w:rsidR="00153DF4" w:rsidRPr="00153DF4" w:rsidRDefault="00153DF4" w:rsidP="00153DF4">
            <w:pPr>
              <w:rPr>
                <w:rFonts w:ascii="Verdana" w:hAnsi="Verdana"/>
                <w:sz w:val="20"/>
              </w:rPr>
            </w:pPr>
            <w:r w:rsidRPr="00153DF4">
              <w:rPr>
                <w:rFonts w:ascii="Verdana" w:hAnsi="Verdana"/>
                <w:sz w:val="20"/>
              </w:rPr>
              <w:t>Taalmaatjes die inburgeraars helpen om hun weg te vinden en hen stimuleren om Nederlands te leren</w:t>
            </w:r>
          </w:p>
          <w:p w14:paraId="66AE5FD2" w14:textId="77777777" w:rsidR="00153DF4" w:rsidRPr="00153DF4" w:rsidRDefault="00153DF4" w:rsidP="00153DF4">
            <w:pPr>
              <w:ind w:left="22"/>
              <w:rPr>
                <w:rFonts w:ascii="Verdana" w:hAnsi="Verdana"/>
                <w:sz w:val="20"/>
              </w:rPr>
            </w:pPr>
          </w:p>
        </w:tc>
        <w:tc>
          <w:tcPr>
            <w:tcW w:w="4962" w:type="dxa"/>
          </w:tcPr>
          <w:p w14:paraId="4A9EED54" w14:textId="65A53C87" w:rsidR="00153DF4" w:rsidRPr="00153DF4" w:rsidRDefault="24D4CBB4" w:rsidP="008E211A">
            <w:pPr>
              <w:ind w:left="38"/>
              <w:contextualSpacing/>
              <w:rPr>
                <w:rFonts w:ascii="Verdana" w:hAnsi="Verdana"/>
                <w:sz w:val="20"/>
              </w:rPr>
            </w:pPr>
            <w:r w:rsidRPr="4C1FB0FF">
              <w:rPr>
                <w:rFonts w:ascii="Verdana" w:hAnsi="Verdana"/>
                <w:sz w:val="20"/>
              </w:rPr>
              <w:t>Overleggen met Alcander</w:t>
            </w:r>
          </w:p>
        </w:tc>
        <w:tc>
          <w:tcPr>
            <w:tcW w:w="1559" w:type="dxa"/>
          </w:tcPr>
          <w:p w14:paraId="4E039AE3" w14:textId="4D6CAF0D" w:rsidR="00153DF4" w:rsidRPr="00153DF4" w:rsidRDefault="008E211A" w:rsidP="00153DF4">
            <w:pPr>
              <w:rPr>
                <w:rFonts w:ascii="Verdana" w:hAnsi="Verdana"/>
                <w:sz w:val="20"/>
              </w:rPr>
            </w:pPr>
            <w:r>
              <w:rPr>
                <w:rFonts w:ascii="Verdana" w:hAnsi="Verdana"/>
                <w:sz w:val="20"/>
              </w:rPr>
              <w:t>MT</w:t>
            </w:r>
          </w:p>
        </w:tc>
        <w:tc>
          <w:tcPr>
            <w:tcW w:w="1808" w:type="dxa"/>
          </w:tcPr>
          <w:p w14:paraId="7B59DB77" w14:textId="77777777" w:rsidR="00153DF4" w:rsidRPr="00153DF4" w:rsidRDefault="00153DF4" w:rsidP="00153DF4">
            <w:pPr>
              <w:rPr>
                <w:rFonts w:ascii="Verdana" w:hAnsi="Verdana"/>
                <w:sz w:val="20"/>
              </w:rPr>
            </w:pPr>
          </w:p>
        </w:tc>
      </w:tr>
      <w:tr w:rsidR="00153DF4" w:rsidRPr="00153DF4" w14:paraId="4D1C3E41" w14:textId="77777777" w:rsidTr="008E211A">
        <w:tc>
          <w:tcPr>
            <w:tcW w:w="5665" w:type="dxa"/>
          </w:tcPr>
          <w:p w14:paraId="1D5051E7" w14:textId="77777777" w:rsidR="00153DF4" w:rsidRPr="00153DF4" w:rsidRDefault="00153DF4" w:rsidP="00153DF4">
            <w:pPr>
              <w:rPr>
                <w:rFonts w:ascii="Verdana" w:hAnsi="Verdana"/>
                <w:sz w:val="20"/>
              </w:rPr>
            </w:pPr>
            <w:r w:rsidRPr="00153DF4">
              <w:rPr>
                <w:rFonts w:ascii="Verdana" w:hAnsi="Verdana"/>
                <w:sz w:val="20"/>
              </w:rPr>
              <w:t>Nederlandse taallessen in Buurtpunten, georganiseerd door vrijwilligers</w:t>
            </w:r>
          </w:p>
          <w:p w14:paraId="2D62CB35" w14:textId="77777777" w:rsidR="00153DF4" w:rsidRPr="00153DF4" w:rsidRDefault="00153DF4" w:rsidP="00153DF4">
            <w:pPr>
              <w:ind w:left="22"/>
              <w:rPr>
                <w:rFonts w:ascii="Verdana" w:hAnsi="Verdana"/>
                <w:sz w:val="20"/>
              </w:rPr>
            </w:pPr>
          </w:p>
        </w:tc>
        <w:tc>
          <w:tcPr>
            <w:tcW w:w="4962" w:type="dxa"/>
          </w:tcPr>
          <w:p w14:paraId="5A119E96" w14:textId="6C18A2DC" w:rsidR="00153DF4" w:rsidRPr="008E211A" w:rsidRDefault="43CD5764" w:rsidP="008E211A">
            <w:pPr>
              <w:rPr>
                <w:rFonts w:eastAsia="Calibri" w:cs="Calibri"/>
                <w:sz w:val="20"/>
              </w:rPr>
            </w:pPr>
            <w:r w:rsidRPr="008E211A">
              <w:rPr>
                <w:rFonts w:eastAsia="Calibri"/>
                <w:szCs w:val="22"/>
              </w:rPr>
              <w:t>Afstemmen met Schunck</w:t>
            </w:r>
          </w:p>
          <w:p w14:paraId="7C1BBAE4" w14:textId="7EC068D3" w:rsidR="00153DF4" w:rsidRPr="008E211A" w:rsidRDefault="2AF62154" w:rsidP="008E211A">
            <w:pPr>
              <w:rPr>
                <w:sz w:val="20"/>
              </w:rPr>
            </w:pPr>
            <w:r w:rsidRPr="008E211A">
              <w:rPr>
                <w:rFonts w:ascii="Verdana" w:hAnsi="Verdana"/>
                <w:sz w:val="20"/>
              </w:rPr>
              <w:t>Samen met aandachtsfunctionarissen uitrollen</w:t>
            </w:r>
          </w:p>
          <w:p w14:paraId="421A8440" w14:textId="1211DC91" w:rsidR="00153DF4" w:rsidRPr="008E211A" w:rsidRDefault="00153DF4" w:rsidP="008E211A">
            <w:pPr>
              <w:rPr>
                <w:sz w:val="20"/>
              </w:rPr>
            </w:pPr>
          </w:p>
        </w:tc>
        <w:tc>
          <w:tcPr>
            <w:tcW w:w="1559" w:type="dxa"/>
          </w:tcPr>
          <w:p w14:paraId="0E50567B" w14:textId="0FCCDCB4" w:rsidR="00153DF4" w:rsidRPr="00153DF4" w:rsidRDefault="008E211A" w:rsidP="00153DF4">
            <w:pPr>
              <w:rPr>
                <w:rFonts w:ascii="Verdana" w:hAnsi="Verdana"/>
                <w:sz w:val="20"/>
              </w:rPr>
            </w:pPr>
            <w:r>
              <w:rPr>
                <w:rFonts w:ascii="Verdana" w:hAnsi="Verdana"/>
                <w:sz w:val="20"/>
              </w:rPr>
              <w:t>AF’s en opbouw-werkers?</w:t>
            </w:r>
          </w:p>
        </w:tc>
        <w:tc>
          <w:tcPr>
            <w:tcW w:w="1808" w:type="dxa"/>
          </w:tcPr>
          <w:p w14:paraId="3B126E3F" w14:textId="77777777" w:rsidR="00153DF4" w:rsidRPr="00153DF4" w:rsidRDefault="00153DF4" w:rsidP="00153DF4">
            <w:pPr>
              <w:rPr>
                <w:rFonts w:ascii="Verdana" w:hAnsi="Verdana"/>
                <w:sz w:val="20"/>
              </w:rPr>
            </w:pPr>
          </w:p>
        </w:tc>
      </w:tr>
      <w:tr w:rsidR="00153DF4" w:rsidRPr="00153DF4" w14:paraId="11681F5B" w14:textId="77777777" w:rsidTr="008E211A">
        <w:tc>
          <w:tcPr>
            <w:tcW w:w="5665" w:type="dxa"/>
          </w:tcPr>
          <w:p w14:paraId="4F8D1582" w14:textId="77777777" w:rsidR="00153DF4" w:rsidRPr="00153DF4" w:rsidRDefault="00153DF4" w:rsidP="00153DF4">
            <w:pPr>
              <w:rPr>
                <w:rFonts w:ascii="Verdana" w:hAnsi="Verdana"/>
                <w:sz w:val="20"/>
              </w:rPr>
            </w:pPr>
            <w:r w:rsidRPr="00153DF4">
              <w:rPr>
                <w:rFonts w:ascii="Verdana" w:hAnsi="Verdana"/>
                <w:sz w:val="20"/>
              </w:rPr>
              <w:t xml:space="preserve">Spreekuren informatie en advies (incl. schuldhulpmaatje) voor anderstaligen in de Buurtpunten </w:t>
            </w:r>
          </w:p>
          <w:p w14:paraId="727F0A85" w14:textId="77777777" w:rsidR="00153DF4" w:rsidRPr="00153DF4" w:rsidRDefault="00153DF4" w:rsidP="00153DF4">
            <w:pPr>
              <w:ind w:left="22"/>
              <w:rPr>
                <w:rFonts w:ascii="Verdana" w:hAnsi="Verdana"/>
                <w:sz w:val="20"/>
              </w:rPr>
            </w:pPr>
          </w:p>
        </w:tc>
        <w:tc>
          <w:tcPr>
            <w:tcW w:w="4962" w:type="dxa"/>
          </w:tcPr>
          <w:p w14:paraId="460BA8D7" w14:textId="7189443D" w:rsidR="00153DF4" w:rsidRPr="00153DF4" w:rsidRDefault="5C674D66" w:rsidP="00612D60">
            <w:pPr>
              <w:contextualSpacing/>
              <w:rPr>
                <w:rFonts w:ascii="Verdana" w:hAnsi="Verdana"/>
                <w:sz w:val="20"/>
              </w:rPr>
            </w:pPr>
            <w:r w:rsidRPr="4C1FB0FF">
              <w:rPr>
                <w:rFonts w:ascii="Verdana" w:hAnsi="Verdana"/>
                <w:sz w:val="20"/>
              </w:rPr>
              <w:t>Samen met aandachtsfunctionarissen uitrollen</w:t>
            </w:r>
          </w:p>
          <w:p w14:paraId="0EC3788C" w14:textId="5BEE06F2" w:rsidR="00153DF4" w:rsidRPr="00153DF4" w:rsidRDefault="00153DF4" w:rsidP="00612D60">
            <w:pPr>
              <w:contextualSpacing/>
              <w:rPr>
                <w:rFonts w:eastAsia="Calibri"/>
                <w:szCs w:val="22"/>
              </w:rPr>
            </w:pPr>
          </w:p>
        </w:tc>
        <w:tc>
          <w:tcPr>
            <w:tcW w:w="1559" w:type="dxa"/>
          </w:tcPr>
          <w:p w14:paraId="7BF43972" w14:textId="3C43D104" w:rsidR="00153DF4" w:rsidRPr="00153DF4" w:rsidRDefault="008E211A" w:rsidP="00153DF4">
            <w:pPr>
              <w:rPr>
                <w:rFonts w:ascii="Verdana" w:hAnsi="Verdana"/>
                <w:sz w:val="20"/>
              </w:rPr>
            </w:pPr>
            <w:r>
              <w:rPr>
                <w:rFonts w:ascii="Verdana" w:hAnsi="Verdana"/>
                <w:sz w:val="20"/>
              </w:rPr>
              <w:t>AF’s en MT</w:t>
            </w:r>
          </w:p>
        </w:tc>
        <w:tc>
          <w:tcPr>
            <w:tcW w:w="1808" w:type="dxa"/>
          </w:tcPr>
          <w:p w14:paraId="634CB928" w14:textId="77777777" w:rsidR="00153DF4" w:rsidRPr="00153DF4" w:rsidRDefault="00153DF4" w:rsidP="00153DF4">
            <w:pPr>
              <w:rPr>
                <w:rFonts w:ascii="Verdana" w:hAnsi="Verdana"/>
                <w:sz w:val="20"/>
              </w:rPr>
            </w:pPr>
          </w:p>
        </w:tc>
      </w:tr>
      <w:tr w:rsidR="00153DF4" w:rsidRPr="00153DF4" w14:paraId="73A8AB97" w14:textId="77777777" w:rsidTr="008E211A">
        <w:tc>
          <w:tcPr>
            <w:tcW w:w="5665" w:type="dxa"/>
          </w:tcPr>
          <w:p w14:paraId="6287A825" w14:textId="77777777" w:rsidR="00153DF4" w:rsidRPr="00153DF4" w:rsidRDefault="00153DF4" w:rsidP="00153DF4">
            <w:pPr>
              <w:rPr>
                <w:rFonts w:ascii="Verdana" w:hAnsi="Verdana"/>
                <w:sz w:val="20"/>
              </w:rPr>
            </w:pPr>
            <w:r w:rsidRPr="00153DF4">
              <w:rPr>
                <w:rFonts w:ascii="Verdana" w:hAnsi="Verdana"/>
                <w:sz w:val="20"/>
              </w:rPr>
              <w:t>Activiteiten in Buurtpunten organiseren voor anderstaligen, zoals Vrouwengroepen in MSP</w:t>
            </w:r>
          </w:p>
          <w:p w14:paraId="094A753A" w14:textId="77777777" w:rsidR="00153DF4" w:rsidRPr="00153DF4" w:rsidRDefault="00153DF4" w:rsidP="00153DF4">
            <w:pPr>
              <w:rPr>
                <w:rFonts w:ascii="Verdana" w:hAnsi="Verdana"/>
                <w:sz w:val="20"/>
              </w:rPr>
            </w:pPr>
          </w:p>
        </w:tc>
        <w:tc>
          <w:tcPr>
            <w:tcW w:w="4962" w:type="dxa"/>
          </w:tcPr>
          <w:p w14:paraId="5FDEFEBD" w14:textId="69D5A740" w:rsidR="00153DF4" w:rsidRPr="00153DF4" w:rsidRDefault="4E6114B6" w:rsidP="00612D60">
            <w:pPr>
              <w:contextualSpacing/>
              <w:rPr>
                <w:rFonts w:ascii="Verdana" w:hAnsi="Verdana"/>
                <w:sz w:val="20"/>
              </w:rPr>
            </w:pPr>
            <w:r w:rsidRPr="4C1FB0FF">
              <w:rPr>
                <w:rFonts w:ascii="Verdana" w:hAnsi="Verdana"/>
                <w:sz w:val="20"/>
              </w:rPr>
              <w:t>Samen met aandachtsfunctionarissen uitrollen en opbouwwerkers</w:t>
            </w:r>
          </w:p>
          <w:p w14:paraId="087FE720" w14:textId="00B2BA53" w:rsidR="00153DF4" w:rsidRPr="00153DF4" w:rsidRDefault="00153DF4" w:rsidP="00612D60">
            <w:pPr>
              <w:contextualSpacing/>
              <w:rPr>
                <w:rFonts w:eastAsia="Calibri"/>
                <w:szCs w:val="22"/>
              </w:rPr>
            </w:pPr>
          </w:p>
        </w:tc>
        <w:tc>
          <w:tcPr>
            <w:tcW w:w="1559" w:type="dxa"/>
          </w:tcPr>
          <w:p w14:paraId="2DD25AD1" w14:textId="2DE49848" w:rsidR="00153DF4" w:rsidRPr="00153DF4" w:rsidRDefault="008E211A" w:rsidP="00153DF4">
            <w:pPr>
              <w:rPr>
                <w:rFonts w:ascii="Verdana" w:hAnsi="Verdana"/>
                <w:sz w:val="20"/>
              </w:rPr>
            </w:pPr>
            <w:r>
              <w:rPr>
                <w:rFonts w:ascii="Verdana" w:hAnsi="Verdana"/>
                <w:sz w:val="20"/>
              </w:rPr>
              <w:t>AF’s Opbouw-werkers en MT</w:t>
            </w:r>
          </w:p>
        </w:tc>
        <w:tc>
          <w:tcPr>
            <w:tcW w:w="1808" w:type="dxa"/>
          </w:tcPr>
          <w:p w14:paraId="79F2D37F" w14:textId="77777777" w:rsidR="00153DF4" w:rsidRPr="00153DF4" w:rsidRDefault="00153DF4" w:rsidP="00153DF4">
            <w:pPr>
              <w:rPr>
                <w:rFonts w:ascii="Verdana" w:hAnsi="Verdana"/>
                <w:sz w:val="20"/>
              </w:rPr>
            </w:pPr>
          </w:p>
        </w:tc>
      </w:tr>
      <w:tr w:rsidR="00153DF4" w:rsidRPr="00153DF4" w14:paraId="73CB3460" w14:textId="77777777" w:rsidTr="008E211A">
        <w:tc>
          <w:tcPr>
            <w:tcW w:w="5665" w:type="dxa"/>
          </w:tcPr>
          <w:p w14:paraId="3C656330" w14:textId="77777777" w:rsidR="00153DF4" w:rsidRPr="00153DF4" w:rsidRDefault="00153DF4" w:rsidP="00153DF4">
            <w:pPr>
              <w:rPr>
                <w:rFonts w:ascii="Verdana" w:hAnsi="Verdana"/>
                <w:sz w:val="20"/>
              </w:rPr>
            </w:pPr>
            <w:r w:rsidRPr="00153DF4">
              <w:rPr>
                <w:rFonts w:ascii="Verdana" w:hAnsi="Verdana"/>
                <w:sz w:val="20"/>
              </w:rPr>
              <w:t>Duidelijkheid waar anderstaligen terecht kunnen bij vragen over:</w:t>
            </w:r>
          </w:p>
          <w:p w14:paraId="189AF385" w14:textId="77777777" w:rsidR="00153DF4" w:rsidRPr="00153DF4" w:rsidRDefault="00153DF4" w:rsidP="00153DF4">
            <w:pPr>
              <w:rPr>
                <w:rFonts w:ascii="Verdana" w:hAnsi="Verdana"/>
                <w:sz w:val="20"/>
              </w:rPr>
            </w:pPr>
            <w:r w:rsidRPr="00153DF4">
              <w:rPr>
                <w:rFonts w:ascii="Verdana" w:hAnsi="Verdana"/>
                <w:sz w:val="20"/>
              </w:rPr>
              <w:t>inburgering en verblijfsvergunning</w:t>
            </w:r>
          </w:p>
          <w:p w14:paraId="0B7CE8F2" w14:textId="77777777" w:rsidR="00153DF4" w:rsidRPr="00153DF4" w:rsidRDefault="00153DF4" w:rsidP="00153DF4">
            <w:pPr>
              <w:rPr>
                <w:rFonts w:ascii="Verdana" w:hAnsi="Verdana"/>
                <w:sz w:val="20"/>
              </w:rPr>
            </w:pPr>
            <w:r w:rsidRPr="00153DF4">
              <w:rPr>
                <w:rFonts w:ascii="Verdana" w:hAnsi="Verdana"/>
                <w:sz w:val="20"/>
              </w:rPr>
              <w:t>scholing, re-integratie en participatie</w:t>
            </w:r>
          </w:p>
          <w:p w14:paraId="52014529" w14:textId="77777777" w:rsidR="00153DF4" w:rsidRPr="00153DF4" w:rsidRDefault="00153DF4" w:rsidP="00153DF4">
            <w:pPr>
              <w:rPr>
                <w:rFonts w:ascii="Verdana" w:hAnsi="Verdana"/>
                <w:sz w:val="20"/>
              </w:rPr>
            </w:pPr>
            <w:r w:rsidRPr="00153DF4">
              <w:rPr>
                <w:rFonts w:ascii="Verdana" w:hAnsi="Verdana"/>
                <w:sz w:val="20"/>
              </w:rPr>
              <w:t>vragen over opvoeding, kinderopvang en scholing van kinderen</w:t>
            </w:r>
          </w:p>
          <w:p w14:paraId="15C7070B" w14:textId="77777777" w:rsidR="00153DF4" w:rsidRPr="00153DF4" w:rsidRDefault="00153DF4" w:rsidP="00153DF4">
            <w:pPr>
              <w:rPr>
                <w:rFonts w:ascii="Verdana" w:hAnsi="Verdana"/>
                <w:sz w:val="20"/>
              </w:rPr>
            </w:pPr>
          </w:p>
        </w:tc>
        <w:tc>
          <w:tcPr>
            <w:tcW w:w="4962" w:type="dxa"/>
          </w:tcPr>
          <w:p w14:paraId="0F65FFF9" w14:textId="74776FDF" w:rsidR="00153DF4" w:rsidRPr="00153DF4" w:rsidRDefault="699B0685" w:rsidP="00612D60">
            <w:pPr>
              <w:contextualSpacing/>
              <w:rPr>
                <w:rFonts w:ascii="Verdana" w:hAnsi="Verdana"/>
                <w:sz w:val="20"/>
              </w:rPr>
            </w:pPr>
            <w:r w:rsidRPr="4C1FB0FF">
              <w:rPr>
                <w:rFonts w:ascii="Verdana" w:hAnsi="Verdana"/>
                <w:sz w:val="20"/>
              </w:rPr>
              <w:t>Onderzoeken</w:t>
            </w:r>
          </w:p>
        </w:tc>
        <w:tc>
          <w:tcPr>
            <w:tcW w:w="1559" w:type="dxa"/>
          </w:tcPr>
          <w:p w14:paraId="5719B82A" w14:textId="0255802A" w:rsidR="00153DF4" w:rsidRPr="00153DF4" w:rsidRDefault="699B0685" w:rsidP="4C1FB0FF">
            <w:pPr>
              <w:rPr>
                <w:rFonts w:ascii="Verdana" w:hAnsi="Verdana"/>
                <w:sz w:val="20"/>
              </w:rPr>
            </w:pPr>
            <w:r w:rsidRPr="4C1FB0FF">
              <w:rPr>
                <w:rFonts w:ascii="Verdana" w:hAnsi="Verdana"/>
                <w:sz w:val="20"/>
              </w:rPr>
              <w:t>Staf</w:t>
            </w:r>
          </w:p>
        </w:tc>
        <w:tc>
          <w:tcPr>
            <w:tcW w:w="1808" w:type="dxa"/>
          </w:tcPr>
          <w:p w14:paraId="10BB12C1" w14:textId="77777777" w:rsidR="00153DF4" w:rsidRPr="00153DF4" w:rsidRDefault="00153DF4" w:rsidP="00153DF4">
            <w:pPr>
              <w:rPr>
                <w:rFonts w:ascii="Verdana" w:hAnsi="Verdana"/>
                <w:sz w:val="20"/>
              </w:rPr>
            </w:pPr>
          </w:p>
        </w:tc>
      </w:tr>
      <w:tr w:rsidR="00153DF4" w:rsidRPr="00153DF4" w14:paraId="44D58CF9" w14:textId="77777777" w:rsidTr="008E211A">
        <w:tc>
          <w:tcPr>
            <w:tcW w:w="5665" w:type="dxa"/>
          </w:tcPr>
          <w:p w14:paraId="55A544E7" w14:textId="77777777" w:rsidR="00153DF4" w:rsidRPr="00153DF4" w:rsidRDefault="00153DF4" w:rsidP="00153DF4">
            <w:pPr>
              <w:rPr>
                <w:rFonts w:ascii="Verdana" w:hAnsi="Verdana"/>
                <w:sz w:val="20"/>
              </w:rPr>
            </w:pPr>
            <w:r w:rsidRPr="00153DF4">
              <w:rPr>
                <w:rFonts w:ascii="Verdana" w:hAnsi="Verdana"/>
                <w:sz w:val="20"/>
              </w:rPr>
              <w:t>Medewerkers aantrekken die anderstalig zijn en kennis hebben van andere culturen</w:t>
            </w:r>
          </w:p>
          <w:p w14:paraId="40513FD7" w14:textId="77777777" w:rsidR="00153DF4" w:rsidRPr="00153DF4" w:rsidRDefault="00153DF4" w:rsidP="00153DF4">
            <w:pPr>
              <w:rPr>
                <w:rFonts w:ascii="Verdana" w:hAnsi="Verdana"/>
                <w:sz w:val="20"/>
              </w:rPr>
            </w:pPr>
          </w:p>
        </w:tc>
        <w:tc>
          <w:tcPr>
            <w:tcW w:w="4962" w:type="dxa"/>
          </w:tcPr>
          <w:p w14:paraId="080AE07E" w14:textId="2B6A9713" w:rsidR="00153DF4" w:rsidRPr="00153DF4" w:rsidRDefault="616D0F55" w:rsidP="00612D60">
            <w:pPr>
              <w:contextualSpacing/>
              <w:rPr>
                <w:rFonts w:ascii="Verdana" w:hAnsi="Verdana"/>
                <w:sz w:val="20"/>
              </w:rPr>
            </w:pPr>
            <w:r w:rsidRPr="4C1FB0FF">
              <w:rPr>
                <w:rFonts w:ascii="Verdana" w:hAnsi="Verdana"/>
                <w:sz w:val="20"/>
              </w:rPr>
              <w:t>In overleg met moeder-organisaties</w:t>
            </w:r>
          </w:p>
        </w:tc>
        <w:tc>
          <w:tcPr>
            <w:tcW w:w="1559" w:type="dxa"/>
          </w:tcPr>
          <w:p w14:paraId="2452FCE5" w14:textId="16819BB0" w:rsidR="00153DF4" w:rsidRPr="00153DF4" w:rsidRDefault="616D0F55" w:rsidP="4C1FB0FF">
            <w:pPr>
              <w:rPr>
                <w:rFonts w:ascii="Verdana" w:hAnsi="Verdana"/>
                <w:sz w:val="20"/>
              </w:rPr>
            </w:pPr>
            <w:r w:rsidRPr="4C1FB0FF">
              <w:rPr>
                <w:rFonts w:ascii="Verdana" w:hAnsi="Verdana"/>
                <w:sz w:val="20"/>
              </w:rPr>
              <w:t>MT</w:t>
            </w:r>
          </w:p>
        </w:tc>
        <w:tc>
          <w:tcPr>
            <w:tcW w:w="1808" w:type="dxa"/>
          </w:tcPr>
          <w:p w14:paraId="1EBC9CBC" w14:textId="77777777" w:rsidR="00153DF4" w:rsidRPr="00153DF4" w:rsidRDefault="00153DF4" w:rsidP="00153DF4">
            <w:pPr>
              <w:rPr>
                <w:rFonts w:ascii="Verdana" w:hAnsi="Verdana"/>
                <w:sz w:val="20"/>
              </w:rPr>
            </w:pPr>
          </w:p>
        </w:tc>
      </w:tr>
      <w:tr w:rsidR="003A5ACC" w:rsidRPr="00153DF4" w14:paraId="7810138D" w14:textId="77777777" w:rsidTr="008E211A">
        <w:tc>
          <w:tcPr>
            <w:tcW w:w="5665" w:type="dxa"/>
          </w:tcPr>
          <w:p w14:paraId="5EB58895" w14:textId="77777777" w:rsidR="003A5ACC" w:rsidRPr="00153DF4" w:rsidRDefault="003A5ACC" w:rsidP="003A5ACC">
            <w:pPr>
              <w:ind w:left="22"/>
              <w:rPr>
                <w:rFonts w:ascii="Verdana" w:hAnsi="Verdana"/>
                <w:sz w:val="20"/>
              </w:rPr>
            </w:pPr>
            <w:r w:rsidRPr="00153DF4">
              <w:rPr>
                <w:rFonts w:ascii="Verdana" w:hAnsi="Verdana"/>
                <w:sz w:val="20"/>
              </w:rPr>
              <w:t>Onderdeel van het traject moet zijn: taal opvijzelen, bijv door taalmaatje, vrouwengroep etc.</w:t>
            </w:r>
          </w:p>
          <w:p w14:paraId="40312454" w14:textId="77777777" w:rsidR="003A5ACC" w:rsidRPr="00153DF4" w:rsidRDefault="003A5ACC" w:rsidP="003A5ACC">
            <w:pPr>
              <w:rPr>
                <w:rFonts w:ascii="Verdana" w:hAnsi="Verdana"/>
                <w:sz w:val="20"/>
              </w:rPr>
            </w:pPr>
          </w:p>
        </w:tc>
        <w:tc>
          <w:tcPr>
            <w:tcW w:w="4962" w:type="dxa"/>
          </w:tcPr>
          <w:p w14:paraId="384B93F1" w14:textId="7545942B" w:rsidR="003A5ACC" w:rsidRPr="4C1FB0FF" w:rsidRDefault="003A5ACC" w:rsidP="00612D60">
            <w:pPr>
              <w:contextualSpacing/>
              <w:rPr>
                <w:rFonts w:ascii="Verdana" w:hAnsi="Verdana"/>
                <w:sz w:val="20"/>
              </w:rPr>
            </w:pPr>
            <w:r w:rsidRPr="4C1FB0FF">
              <w:rPr>
                <w:rFonts w:ascii="Verdana" w:eastAsiaTheme="minorEastAsia" w:hAnsi="Verdana"/>
                <w:sz w:val="20"/>
              </w:rPr>
              <w:t>Opnemen in 1G1P</w:t>
            </w:r>
          </w:p>
        </w:tc>
        <w:tc>
          <w:tcPr>
            <w:tcW w:w="1559" w:type="dxa"/>
          </w:tcPr>
          <w:p w14:paraId="46774DD5" w14:textId="09521FE0" w:rsidR="003A5ACC" w:rsidRPr="4C1FB0FF" w:rsidRDefault="003A5ACC" w:rsidP="003A5ACC">
            <w:pPr>
              <w:rPr>
                <w:rFonts w:ascii="Verdana" w:hAnsi="Verdana"/>
                <w:sz w:val="20"/>
              </w:rPr>
            </w:pPr>
            <w:r w:rsidRPr="4C1FB0FF">
              <w:rPr>
                <w:rFonts w:ascii="Verdana" w:eastAsiaTheme="minorEastAsia" w:hAnsi="Verdana"/>
                <w:sz w:val="20"/>
              </w:rPr>
              <w:t>Intake en begeleiders</w:t>
            </w:r>
          </w:p>
        </w:tc>
        <w:tc>
          <w:tcPr>
            <w:tcW w:w="1808" w:type="dxa"/>
          </w:tcPr>
          <w:p w14:paraId="69F1B094" w14:textId="77777777" w:rsidR="003A5ACC" w:rsidRPr="00153DF4" w:rsidRDefault="003A5ACC" w:rsidP="003A5ACC">
            <w:pPr>
              <w:rPr>
                <w:rFonts w:ascii="Verdana" w:hAnsi="Verdana"/>
                <w:sz w:val="20"/>
              </w:rPr>
            </w:pPr>
          </w:p>
        </w:tc>
      </w:tr>
    </w:tbl>
    <w:p w14:paraId="14D11797" w14:textId="77777777" w:rsidR="00153DF4" w:rsidRPr="00153DF4" w:rsidRDefault="00153DF4" w:rsidP="00153DF4">
      <w:pPr>
        <w:spacing w:after="160" w:line="240" w:lineRule="auto"/>
        <w:rPr>
          <w:rFonts w:asciiTheme="minorHAnsi" w:hAnsiTheme="minorHAnsi"/>
          <w:b/>
          <w:bCs/>
          <w:szCs w:val="22"/>
        </w:rPr>
      </w:pPr>
    </w:p>
    <w:p w14:paraId="3482A9B6" w14:textId="77777777" w:rsidR="00153DF4" w:rsidRPr="00153DF4" w:rsidRDefault="00153DF4" w:rsidP="00153DF4">
      <w:pPr>
        <w:pStyle w:val="Kop2"/>
      </w:pPr>
      <w:r w:rsidRPr="00153DF4">
        <w:lastRenderedPageBreak/>
        <w:t>Wat kunnen we samen met anderen doen</w:t>
      </w:r>
    </w:p>
    <w:tbl>
      <w:tblPr>
        <w:tblStyle w:val="Tabelraster1"/>
        <w:tblW w:w="0" w:type="auto"/>
        <w:tblLook w:val="04A0" w:firstRow="1" w:lastRow="0" w:firstColumn="1" w:lastColumn="0" w:noHBand="0" w:noVBand="1"/>
      </w:tblPr>
      <w:tblGrid>
        <w:gridCol w:w="5665"/>
        <w:gridCol w:w="4820"/>
        <w:gridCol w:w="1559"/>
        <w:gridCol w:w="1950"/>
      </w:tblGrid>
      <w:tr w:rsidR="00153DF4" w:rsidRPr="00153DF4" w14:paraId="7DEB18B6" w14:textId="77777777" w:rsidTr="4C1FB0FF">
        <w:tc>
          <w:tcPr>
            <w:tcW w:w="5665" w:type="dxa"/>
            <w:shd w:val="clear" w:color="auto" w:fill="FFC000" w:themeFill="accent4"/>
          </w:tcPr>
          <w:p w14:paraId="13B58B41" w14:textId="77777777" w:rsidR="00153DF4" w:rsidRPr="00153DF4" w:rsidRDefault="00153DF4" w:rsidP="00153DF4">
            <w:pPr>
              <w:rPr>
                <w:rFonts w:ascii="Verdana" w:hAnsi="Verdana"/>
                <w:sz w:val="20"/>
              </w:rPr>
            </w:pPr>
            <w:r w:rsidRPr="00153DF4">
              <w:rPr>
                <w:rFonts w:asciiTheme="minorHAnsi" w:hAnsiTheme="minorHAnsi"/>
                <w:b/>
                <w:bCs/>
                <w:sz w:val="24"/>
                <w:szCs w:val="24"/>
              </w:rPr>
              <w:t>Wat</w:t>
            </w:r>
          </w:p>
        </w:tc>
        <w:tc>
          <w:tcPr>
            <w:tcW w:w="4820" w:type="dxa"/>
            <w:shd w:val="clear" w:color="auto" w:fill="FFC000" w:themeFill="accent4"/>
          </w:tcPr>
          <w:p w14:paraId="36ABF1D0" w14:textId="77777777" w:rsidR="00153DF4" w:rsidRPr="00153DF4" w:rsidRDefault="00153DF4" w:rsidP="00153DF4">
            <w:pPr>
              <w:rPr>
                <w:rFonts w:ascii="Verdana" w:hAnsi="Verdana"/>
                <w:b/>
                <w:bCs/>
                <w:sz w:val="24"/>
                <w:szCs w:val="24"/>
              </w:rPr>
            </w:pPr>
            <w:r w:rsidRPr="00153DF4">
              <w:rPr>
                <w:rFonts w:asciiTheme="minorHAnsi" w:hAnsiTheme="minorHAnsi"/>
                <w:b/>
                <w:bCs/>
                <w:sz w:val="24"/>
                <w:szCs w:val="24"/>
              </w:rPr>
              <w:t>Hoe</w:t>
            </w:r>
          </w:p>
        </w:tc>
        <w:tc>
          <w:tcPr>
            <w:tcW w:w="1559" w:type="dxa"/>
            <w:shd w:val="clear" w:color="auto" w:fill="FFC000" w:themeFill="accent4"/>
          </w:tcPr>
          <w:p w14:paraId="7D68910D" w14:textId="77777777" w:rsidR="00153DF4" w:rsidRPr="00153DF4" w:rsidRDefault="00153DF4" w:rsidP="00153DF4">
            <w:pPr>
              <w:rPr>
                <w:rFonts w:ascii="Verdana" w:hAnsi="Verdana"/>
                <w:b/>
                <w:bCs/>
                <w:sz w:val="24"/>
                <w:szCs w:val="24"/>
              </w:rPr>
            </w:pPr>
            <w:r w:rsidRPr="00153DF4">
              <w:rPr>
                <w:rFonts w:asciiTheme="minorHAnsi" w:hAnsiTheme="minorHAnsi"/>
                <w:b/>
                <w:bCs/>
                <w:sz w:val="24"/>
                <w:szCs w:val="24"/>
              </w:rPr>
              <w:t>Wie</w:t>
            </w:r>
          </w:p>
        </w:tc>
        <w:tc>
          <w:tcPr>
            <w:tcW w:w="1950" w:type="dxa"/>
            <w:shd w:val="clear" w:color="auto" w:fill="FFC000" w:themeFill="accent4"/>
          </w:tcPr>
          <w:p w14:paraId="2F918D6B" w14:textId="77777777" w:rsidR="00153DF4" w:rsidRPr="00153DF4" w:rsidRDefault="00153DF4" w:rsidP="00153DF4">
            <w:pPr>
              <w:rPr>
                <w:rFonts w:ascii="Verdana" w:hAnsi="Verdana"/>
                <w:b/>
                <w:bCs/>
                <w:sz w:val="24"/>
                <w:szCs w:val="24"/>
              </w:rPr>
            </w:pPr>
            <w:r w:rsidRPr="00153DF4">
              <w:rPr>
                <w:rFonts w:asciiTheme="minorHAnsi" w:hAnsiTheme="minorHAnsi"/>
                <w:b/>
                <w:bCs/>
                <w:sz w:val="24"/>
                <w:szCs w:val="24"/>
              </w:rPr>
              <w:t>Wanneer</w:t>
            </w:r>
          </w:p>
        </w:tc>
      </w:tr>
      <w:tr w:rsidR="00153DF4" w:rsidRPr="00153DF4" w14:paraId="3DDE4594" w14:textId="77777777" w:rsidTr="4C1FB0FF">
        <w:tc>
          <w:tcPr>
            <w:tcW w:w="5665" w:type="dxa"/>
          </w:tcPr>
          <w:p w14:paraId="3F1FEBF6" w14:textId="77777777" w:rsidR="00153DF4" w:rsidRPr="00153DF4" w:rsidRDefault="00153DF4" w:rsidP="00153DF4">
            <w:pPr>
              <w:rPr>
                <w:rFonts w:ascii="Verdana" w:hAnsi="Verdana"/>
                <w:sz w:val="20"/>
              </w:rPr>
            </w:pPr>
            <w:r w:rsidRPr="00153DF4">
              <w:rPr>
                <w:rFonts w:ascii="Verdana" w:hAnsi="Verdana"/>
                <w:sz w:val="20"/>
              </w:rPr>
              <w:t>Het proces dat de inburgeraar in Heerlen doorloopt, de instanties die daarbij betrokken en de inspanning die de inburgeraar moet leveren, moet bekend zijn</w:t>
            </w:r>
          </w:p>
          <w:p w14:paraId="46AC214C" w14:textId="77777777" w:rsidR="00153DF4" w:rsidRPr="00153DF4" w:rsidRDefault="00153DF4" w:rsidP="00153DF4">
            <w:pPr>
              <w:rPr>
                <w:rFonts w:ascii="Verdana" w:hAnsi="Verdana"/>
                <w:b/>
                <w:bCs/>
                <w:sz w:val="24"/>
                <w:szCs w:val="24"/>
              </w:rPr>
            </w:pPr>
          </w:p>
        </w:tc>
        <w:tc>
          <w:tcPr>
            <w:tcW w:w="4820" w:type="dxa"/>
          </w:tcPr>
          <w:p w14:paraId="54862DC9" w14:textId="3B9BCF15" w:rsidR="00153DF4" w:rsidRPr="00153DF4" w:rsidRDefault="00DD4BD5" w:rsidP="4C1FB0FF">
            <w:pPr>
              <w:rPr>
                <w:rFonts w:ascii="Verdana" w:hAnsi="Verdana"/>
                <w:sz w:val="20"/>
              </w:rPr>
            </w:pPr>
            <w:r>
              <w:rPr>
                <w:rFonts w:ascii="Verdana" w:eastAsiaTheme="minorEastAsia" w:hAnsi="Verdana"/>
                <w:sz w:val="20"/>
              </w:rPr>
              <w:t>Wordt meegenomen in de</w:t>
            </w:r>
            <w:r w:rsidR="00551719">
              <w:rPr>
                <w:rFonts w:ascii="Verdana" w:eastAsiaTheme="minorEastAsia" w:hAnsi="Verdana"/>
                <w:sz w:val="20"/>
              </w:rPr>
              <w:t xml:space="preserve"> nieuwe wet inburgering 2022</w:t>
            </w:r>
          </w:p>
        </w:tc>
        <w:tc>
          <w:tcPr>
            <w:tcW w:w="1559" w:type="dxa"/>
          </w:tcPr>
          <w:p w14:paraId="3A97554E" w14:textId="158F0E88" w:rsidR="00153DF4" w:rsidRPr="00153DF4" w:rsidRDefault="7E83CB68" w:rsidP="4C1FB0FF">
            <w:pPr>
              <w:spacing w:line="276" w:lineRule="auto"/>
              <w:rPr>
                <w:rFonts w:ascii="Verdana" w:eastAsiaTheme="minorEastAsia" w:hAnsi="Verdana"/>
                <w:sz w:val="20"/>
              </w:rPr>
            </w:pPr>
            <w:r w:rsidRPr="4C1FB0FF">
              <w:rPr>
                <w:rFonts w:ascii="Verdana" w:eastAsiaTheme="minorEastAsia" w:hAnsi="Verdana"/>
                <w:sz w:val="20"/>
              </w:rPr>
              <w:t>Staf</w:t>
            </w:r>
          </w:p>
        </w:tc>
        <w:tc>
          <w:tcPr>
            <w:tcW w:w="1950" w:type="dxa"/>
          </w:tcPr>
          <w:p w14:paraId="5AB070A5" w14:textId="77777777" w:rsidR="00153DF4" w:rsidRPr="00153DF4" w:rsidRDefault="00153DF4" w:rsidP="00153DF4">
            <w:pPr>
              <w:rPr>
                <w:rFonts w:ascii="Verdana" w:hAnsi="Verdana"/>
                <w:b/>
                <w:bCs/>
                <w:sz w:val="24"/>
                <w:szCs w:val="24"/>
              </w:rPr>
            </w:pPr>
          </w:p>
        </w:tc>
      </w:tr>
      <w:tr w:rsidR="00153DF4" w:rsidRPr="00153DF4" w14:paraId="331CE4DF" w14:textId="77777777" w:rsidTr="4C1FB0FF">
        <w:tc>
          <w:tcPr>
            <w:tcW w:w="5665" w:type="dxa"/>
          </w:tcPr>
          <w:p w14:paraId="5FAEE95C" w14:textId="77777777" w:rsidR="00153DF4" w:rsidRDefault="00153DF4" w:rsidP="4C1FB0FF">
            <w:pPr>
              <w:rPr>
                <w:rFonts w:ascii="Verdana" w:hAnsi="Verdana"/>
                <w:sz w:val="20"/>
              </w:rPr>
            </w:pPr>
            <w:r w:rsidRPr="4C1FB0FF">
              <w:rPr>
                <w:rFonts w:ascii="Verdana" w:hAnsi="Verdana"/>
                <w:sz w:val="20"/>
              </w:rPr>
              <w:t xml:space="preserve">Afspraken maken met andere organisaties in Heerlen e.o. die met inburgeraars te maken hebben. Hoe gaan zij hier mee om en hoe kunnen we samen werken. JENS, Expertiseteam, Veiligheidshuis, Sociale zaken, politie, woningbouwverenigingen, andere zorgorganisaties. </w:t>
            </w:r>
          </w:p>
          <w:p w14:paraId="0421585D" w14:textId="009E9B0D" w:rsidR="00DD4BD5" w:rsidRPr="00153DF4" w:rsidRDefault="00DD4BD5" w:rsidP="4C1FB0FF">
            <w:pPr>
              <w:rPr>
                <w:rFonts w:ascii="Verdana" w:hAnsi="Verdana"/>
                <w:sz w:val="20"/>
              </w:rPr>
            </w:pPr>
          </w:p>
        </w:tc>
        <w:tc>
          <w:tcPr>
            <w:tcW w:w="4820" w:type="dxa"/>
          </w:tcPr>
          <w:p w14:paraId="0E4792B9" w14:textId="37C5D781" w:rsidR="00153DF4" w:rsidRPr="00153DF4" w:rsidRDefault="00DD4BD5" w:rsidP="4C1FB0FF">
            <w:pPr>
              <w:rPr>
                <w:rFonts w:eastAsia="Calibri"/>
                <w:b/>
                <w:bCs/>
                <w:szCs w:val="22"/>
              </w:rPr>
            </w:pPr>
            <w:r>
              <w:rPr>
                <w:rFonts w:ascii="Verdana" w:eastAsiaTheme="minorEastAsia" w:hAnsi="Verdana"/>
                <w:sz w:val="20"/>
              </w:rPr>
              <w:t>Wordt meegenomen in de nieuwe wet inburgering 2022</w:t>
            </w:r>
          </w:p>
        </w:tc>
        <w:tc>
          <w:tcPr>
            <w:tcW w:w="1559" w:type="dxa"/>
          </w:tcPr>
          <w:p w14:paraId="6AD479C1" w14:textId="454CFA9E" w:rsidR="00153DF4" w:rsidRPr="00153DF4" w:rsidRDefault="00DD4BD5" w:rsidP="00153DF4">
            <w:pPr>
              <w:rPr>
                <w:rFonts w:ascii="Verdana" w:hAnsi="Verdana"/>
                <w:b/>
                <w:bCs/>
                <w:sz w:val="24"/>
                <w:szCs w:val="24"/>
              </w:rPr>
            </w:pPr>
            <w:r>
              <w:rPr>
                <w:rFonts w:ascii="Verdana" w:hAnsi="Verdana"/>
                <w:sz w:val="20"/>
              </w:rPr>
              <w:t>Staf en MT</w:t>
            </w:r>
          </w:p>
        </w:tc>
        <w:tc>
          <w:tcPr>
            <w:tcW w:w="1950" w:type="dxa"/>
          </w:tcPr>
          <w:p w14:paraId="744FC3F1" w14:textId="77777777" w:rsidR="00153DF4" w:rsidRPr="00153DF4" w:rsidRDefault="00153DF4" w:rsidP="00153DF4">
            <w:pPr>
              <w:rPr>
                <w:rFonts w:ascii="Verdana" w:hAnsi="Verdana"/>
                <w:b/>
                <w:bCs/>
                <w:sz w:val="24"/>
                <w:szCs w:val="24"/>
              </w:rPr>
            </w:pPr>
          </w:p>
        </w:tc>
      </w:tr>
    </w:tbl>
    <w:p w14:paraId="161853FB" w14:textId="7D2F0CA2" w:rsidR="4C1FB0FF" w:rsidRDefault="4C1FB0FF"/>
    <w:p w14:paraId="003FDF38" w14:textId="77777777" w:rsidR="00153DF4" w:rsidRPr="00153DF4" w:rsidRDefault="00153DF4" w:rsidP="00153DF4">
      <w:pPr>
        <w:spacing w:after="160" w:line="240" w:lineRule="auto"/>
        <w:rPr>
          <w:rFonts w:asciiTheme="minorHAnsi" w:hAnsiTheme="minorHAnsi"/>
          <w:b/>
          <w:bCs/>
          <w:sz w:val="24"/>
          <w:szCs w:val="24"/>
        </w:rPr>
      </w:pPr>
    </w:p>
    <w:p w14:paraId="3C8F9175" w14:textId="40C0BAA8" w:rsidR="4C1FB0FF" w:rsidRDefault="4C1FB0FF"/>
    <w:p w14:paraId="26A9FE6F" w14:textId="77777777" w:rsidR="009868C6" w:rsidRDefault="00DD4BD5"/>
    <w:sectPr w:rsidR="009868C6" w:rsidSect="00DC7A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intelligence.xml><?xml version="1.0" encoding="utf-8"?>
<int:Intelligence xmlns:int="http://schemas.microsoft.com/office/intelligence/2019/intelligence">
  <int:IntelligenceSettings/>
  <int:Manifest>
    <int:WordHash hashCode="z7V6A4lv+8hCYp" id="Ki5p5rWL"/>
    <int:WordHash hashCode="+Y6yOMzNWku216" id="p2xRRDjq"/>
  </int:Manifest>
  <int:Observations>
    <int:Content id="Ki5p5rWL">
      <int:Rejection type="LegacyProofing"/>
    </int:Content>
    <int:Content id="p2xRRDj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BCC"/>
    <w:multiLevelType w:val="hybridMultilevel"/>
    <w:tmpl w:val="C744F8A4"/>
    <w:lvl w:ilvl="0" w:tplc="8C80AD82">
      <w:start w:val="1"/>
      <w:numFmt w:val="bullet"/>
      <w:pStyle w:val="Lijstniveau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BB7419"/>
    <w:multiLevelType w:val="hybridMultilevel"/>
    <w:tmpl w:val="564E64FC"/>
    <w:lvl w:ilvl="0" w:tplc="A8F685BE">
      <w:start w:val="1"/>
      <w:numFmt w:val="bullet"/>
      <w:lvlText w:val="-"/>
      <w:lvlJc w:val="left"/>
      <w:pPr>
        <w:ind w:left="720" w:hanging="360"/>
      </w:pPr>
      <w:rPr>
        <w:rFonts w:ascii="Calibri" w:hAnsi="Calibri" w:hint="default"/>
      </w:rPr>
    </w:lvl>
    <w:lvl w:ilvl="1" w:tplc="6C964950">
      <w:start w:val="1"/>
      <w:numFmt w:val="bullet"/>
      <w:lvlText w:val="o"/>
      <w:lvlJc w:val="left"/>
      <w:pPr>
        <w:ind w:left="1440" w:hanging="360"/>
      </w:pPr>
      <w:rPr>
        <w:rFonts w:ascii="Courier New" w:hAnsi="Courier New" w:hint="default"/>
      </w:rPr>
    </w:lvl>
    <w:lvl w:ilvl="2" w:tplc="FDE6047E">
      <w:start w:val="1"/>
      <w:numFmt w:val="bullet"/>
      <w:lvlText w:val=""/>
      <w:lvlJc w:val="left"/>
      <w:pPr>
        <w:ind w:left="2160" w:hanging="360"/>
      </w:pPr>
      <w:rPr>
        <w:rFonts w:ascii="Wingdings" w:hAnsi="Wingdings" w:hint="default"/>
      </w:rPr>
    </w:lvl>
    <w:lvl w:ilvl="3" w:tplc="8E641816">
      <w:start w:val="1"/>
      <w:numFmt w:val="bullet"/>
      <w:lvlText w:val=""/>
      <w:lvlJc w:val="left"/>
      <w:pPr>
        <w:ind w:left="2880" w:hanging="360"/>
      </w:pPr>
      <w:rPr>
        <w:rFonts w:ascii="Symbol" w:hAnsi="Symbol" w:hint="default"/>
      </w:rPr>
    </w:lvl>
    <w:lvl w:ilvl="4" w:tplc="777EC1F8">
      <w:start w:val="1"/>
      <w:numFmt w:val="bullet"/>
      <w:lvlText w:val="o"/>
      <w:lvlJc w:val="left"/>
      <w:pPr>
        <w:ind w:left="3600" w:hanging="360"/>
      </w:pPr>
      <w:rPr>
        <w:rFonts w:ascii="Courier New" w:hAnsi="Courier New" w:hint="default"/>
      </w:rPr>
    </w:lvl>
    <w:lvl w:ilvl="5" w:tplc="FB1E4D9E">
      <w:start w:val="1"/>
      <w:numFmt w:val="bullet"/>
      <w:lvlText w:val=""/>
      <w:lvlJc w:val="left"/>
      <w:pPr>
        <w:ind w:left="4320" w:hanging="360"/>
      </w:pPr>
      <w:rPr>
        <w:rFonts w:ascii="Wingdings" w:hAnsi="Wingdings" w:hint="default"/>
      </w:rPr>
    </w:lvl>
    <w:lvl w:ilvl="6" w:tplc="045825B8">
      <w:start w:val="1"/>
      <w:numFmt w:val="bullet"/>
      <w:lvlText w:val=""/>
      <w:lvlJc w:val="left"/>
      <w:pPr>
        <w:ind w:left="5040" w:hanging="360"/>
      </w:pPr>
      <w:rPr>
        <w:rFonts w:ascii="Symbol" w:hAnsi="Symbol" w:hint="default"/>
      </w:rPr>
    </w:lvl>
    <w:lvl w:ilvl="7" w:tplc="7A00AD40">
      <w:start w:val="1"/>
      <w:numFmt w:val="bullet"/>
      <w:lvlText w:val="o"/>
      <w:lvlJc w:val="left"/>
      <w:pPr>
        <w:ind w:left="5760" w:hanging="360"/>
      </w:pPr>
      <w:rPr>
        <w:rFonts w:ascii="Courier New" w:hAnsi="Courier New" w:hint="default"/>
      </w:rPr>
    </w:lvl>
    <w:lvl w:ilvl="8" w:tplc="DA9EA1D6">
      <w:start w:val="1"/>
      <w:numFmt w:val="bullet"/>
      <w:lvlText w:val=""/>
      <w:lvlJc w:val="left"/>
      <w:pPr>
        <w:ind w:left="6480" w:hanging="360"/>
      </w:pPr>
      <w:rPr>
        <w:rFonts w:ascii="Wingdings" w:hAnsi="Wingdings" w:hint="default"/>
      </w:rPr>
    </w:lvl>
  </w:abstractNum>
  <w:abstractNum w:abstractNumId="2" w15:restartNumberingAfterBreak="0">
    <w:nsid w:val="29084E0E"/>
    <w:multiLevelType w:val="hybridMultilevel"/>
    <w:tmpl w:val="5B3C6C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536101C8"/>
    <w:multiLevelType w:val="hybridMultilevel"/>
    <w:tmpl w:val="E66C4DF2"/>
    <w:lvl w:ilvl="0" w:tplc="A2960364">
      <w:numFmt w:val="bullet"/>
      <w:pStyle w:val="Lijstniveau2"/>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6D733285"/>
    <w:multiLevelType w:val="hybridMultilevel"/>
    <w:tmpl w:val="1DF224A8"/>
    <w:lvl w:ilvl="0" w:tplc="0EDC852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DD778B"/>
    <w:multiLevelType w:val="hybridMultilevel"/>
    <w:tmpl w:val="06843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640D16"/>
    <w:multiLevelType w:val="hybridMultilevel"/>
    <w:tmpl w:val="1C22B1E2"/>
    <w:lvl w:ilvl="0" w:tplc="AABEE5DC">
      <w:start w:val="1"/>
      <w:numFmt w:val="decimal"/>
      <w:pStyle w:val="Opsommin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3"/>
  </w:num>
  <w:num w:numId="6">
    <w:abstractNumId w:val="6"/>
  </w:num>
  <w:num w:numId="7">
    <w:abstractNumId w:val="0"/>
  </w:num>
  <w:num w:numId="8">
    <w:abstractNumId w:val="3"/>
  </w:num>
  <w:num w:numId="9">
    <w:abstractNumId w:val="6"/>
  </w:num>
  <w:num w:numId="10">
    <w:abstractNumId w:val="0"/>
  </w:num>
  <w:num w:numId="11">
    <w:abstractNumId w:val="3"/>
  </w:num>
  <w:num w:numId="12">
    <w:abstractNumId w:val="6"/>
  </w:num>
  <w:num w:numId="13">
    <w:abstractNumId w:val="0"/>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F4"/>
    <w:rsid w:val="0001091A"/>
    <w:rsid w:val="00153DF4"/>
    <w:rsid w:val="002D0C08"/>
    <w:rsid w:val="002D7A11"/>
    <w:rsid w:val="00320D30"/>
    <w:rsid w:val="00323290"/>
    <w:rsid w:val="00332E64"/>
    <w:rsid w:val="003A5ACC"/>
    <w:rsid w:val="00472F8F"/>
    <w:rsid w:val="004A7D14"/>
    <w:rsid w:val="00551719"/>
    <w:rsid w:val="00612D60"/>
    <w:rsid w:val="007C233E"/>
    <w:rsid w:val="00824211"/>
    <w:rsid w:val="00825AAD"/>
    <w:rsid w:val="008E211A"/>
    <w:rsid w:val="00A91C26"/>
    <w:rsid w:val="00C60AED"/>
    <w:rsid w:val="00D62967"/>
    <w:rsid w:val="00DD4BD5"/>
    <w:rsid w:val="00E01CF2"/>
    <w:rsid w:val="00E5672B"/>
    <w:rsid w:val="00E8119B"/>
    <w:rsid w:val="00F4355F"/>
    <w:rsid w:val="08761C4A"/>
    <w:rsid w:val="0A4FC44B"/>
    <w:rsid w:val="0D498D6D"/>
    <w:rsid w:val="121CFE90"/>
    <w:rsid w:val="1310C183"/>
    <w:rsid w:val="16D6CF57"/>
    <w:rsid w:val="1E53742A"/>
    <w:rsid w:val="24D4CBB4"/>
    <w:rsid w:val="273092B2"/>
    <w:rsid w:val="2AF62154"/>
    <w:rsid w:val="2E308913"/>
    <w:rsid w:val="2E506F97"/>
    <w:rsid w:val="2FEC3FF8"/>
    <w:rsid w:val="31881059"/>
    <w:rsid w:val="3894B039"/>
    <w:rsid w:val="40DCFE58"/>
    <w:rsid w:val="41A621A9"/>
    <w:rsid w:val="43CD5764"/>
    <w:rsid w:val="488A5693"/>
    <w:rsid w:val="4C1FB0FF"/>
    <w:rsid w:val="4E6114B6"/>
    <w:rsid w:val="52407B72"/>
    <w:rsid w:val="553DA422"/>
    <w:rsid w:val="5713EC95"/>
    <w:rsid w:val="5A25DD3A"/>
    <w:rsid w:val="5C674D66"/>
    <w:rsid w:val="616D0F55"/>
    <w:rsid w:val="68CDCE46"/>
    <w:rsid w:val="699B0685"/>
    <w:rsid w:val="6B92B04E"/>
    <w:rsid w:val="6BAB6304"/>
    <w:rsid w:val="6E73EC79"/>
    <w:rsid w:val="74918526"/>
    <w:rsid w:val="77C925E8"/>
    <w:rsid w:val="7C836EAE"/>
    <w:rsid w:val="7E83C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79E8"/>
  <w15:chartTrackingRefBased/>
  <w15:docId w15:val="{BD1B3047-EDDA-4610-B446-5C0E16F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55F"/>
    <w:rPr>
      <w:rFonts w:ascii="Calibri" w:hAnsi="Calibri"/>
      <w:sz w:val="22"/>
    </w:rPr>
  </w:style>
  <w:style w:type="paragraph" w:styleId="Kop1">
    <w:name w:val="heading 1"/>
    <w:basedOn w:val="Kop2"/>
    <w:next w:val="Standaard"/>
    <w:link w:val="Kop1Char"/>
    <w:uiPriority w:val="9"/>
    <w:qFormat/>
    <w:rsid w:val="00824211"/>
    <w:pPr>
      <w:outlineLvl w:val="0"/>
    </w:pPr>
    <w:rPr>
      <w:sz w:val="56"/>
      <w:szCs w:val="56"/>
    </w:rPr>
  </w:style>
  <w:style w:type="paragraph" w:styleId="Kop2">
    <w:name w:val="heading 2"/>
    <w:basedOn w:val="Standaard"/>
    <w:next w:val="Standaard"/>
    <w:link w:val="Kop2Char"/>
    <w:uiPriority w:val="9"/>
    <w:unhideWhenUsed/>
    <w:qFormat/>
    <w:rsid w:val="00A91C26"/>
    <w:pPr>
      <w:keepNext/>
      <w:keepLines/>
      <w:spacing w:before="200"/>
      <w:outlineLvl w:val="1"/>
    </w:pPr>
    <w:rPr>
      <w:rFonts w:asciiTheme="minorHAnsi" w:eastAsiaTheme="majorEastAsia" w:hAnsiTheme="minorHAnsi" w:cstheme="majorBidi"/>
      <w:b/>
      <w:bCs/>
      <w:color w:val="97BF0D"/>
      <w:sz w:val="32"/>
      <w:szCs w:val="26"/>
    </w:rPr>
  </w:style>
  <w:style w:type="paragraph" w:styleId="Kop3">
    <w:name w:val="heading 3"/>
    <w:basedOn w:val="Standaard"/>
    <w:next w:val="Standaard"/>
    <w:link w:val="Kop3Char"/>
    <w:uiPriority w:val="9"/>
    <w:unhideWhenUsed/>
    <w:qFormat/>
    <w:rsid w:val="007C233E"/>
    <w:pPr>
      <w:keepNext/>
      <w:keepLines/>
      <w:spacing w:before="200"/>
      <w:outlineLvl w:val="2"/>
    </w:pPr>
    <w:rPr>
      <w:rFonts w:eastAsiaTheme="majorEastAsia" w:cstheme="majorBidi"/>
      <w:b/>
      <w:bCs/>
      <w:color w:val="97BF0D"/>
    </w:rPr>
  </w:style>
  <w:style w:type="paragraph" w:styleId="Kop4">
    <w:name w:val="heading 4"/>
    <w:basedOn w:val="Standaard"/>
    <w:next w:val="Standaard"/>
    <w:link w:val="Kop4Char"/>
    <w:uiPriority w:val="9"/>
    <w:unhideWhenUsed/>
    <w:qFormat/>
    <w:rsid w:val="007C233E"/>
    <w:pPr>
      <w:keepNext/>
      <w:keepLines/>
      <w:spacing w:before="200"/>
      <w:ind w:left="708"/>
      <w:outlineLvl w:val="3"/>
    </w:pPr>
    <w:rPr>
      <w:rFonts w:asciiTheme="majorHAnsi" w:eastAsiaTheme="majorEastAsia" w:hAnsiTheme="majorHAnsi" w:cstheme="majorBidi"/>
      <w:bCs/>
      <w:i/>
      <w:iCs/>
      <w:color w:val="F08A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niveau2">
    <w:name w:val="Lijstniveau 2"/>
    <w:basedOn w:val="Geenafstand"/>
    <w:link w:val="Lijstniveau2Char"/>
    <w:qFormat/>
    <w:rsid w:val="007C233E"/>
    <w:pPr>
      <w:numPr>
        <w:numId w:val="11"/>
      </w:numPr>
    </w:pPr>
  </w:style>
  <w:style w:type="character" w:customStyle="1" w:styleId="Lijstniveau2Char">
    <w:name w:val="Lijstniveau 2 Char"/>
    <w:basedOn w:val="GeenafstandChar"/>
    <w:link w:val="Lijstniveau2"/>
    <w:rsid w:val="007C233E"/>
    <w:rPr>
      <w:rFonts w:asciiTheme="minorHAnsi" w:hAnsiTheme="minorHAnsi"/>
      <w:sz w:val="22"/>
      <w:szCs w:val="22"/>
    </w:rPr>
  </w:style>
  <w:style w:type="paragraph" w:styleId="Geenafstand">
    <w:name w:val="No Spacing"/>
    <w:link w:val="GeenafstandChar"/>
    <w:uiPriority w:val="1"/>
    <w:rsid w:val="007C233E"/>
    <w:pPr>
      <w:spacing w:line="240" w:lineRule="auto"/>
    </w:pPr>
    <w:rPr>
      <w:rFonts w:asciiTheme="minorHAnsi" w:hAnsiTheme="minorHAnsi"/>
      <w:sz w:val="22"/>
      <w:szCs w:val="22"/>
    </w:rPr>
  </w:style>
  <w:style w:type="paragraph" w:customStyle="1" w:styleId="Opsomming">
    <w:name w:val="Opsomming"/>
    <w:basedOn w:val="Geenafstand"/>
    <w:link w:val="OpsommingChar"/>
    <w:qFormat/>
    <w:rsid w:val="007C233E"/>
    <w:pPr>
      <w:numPr>
        <w:numId w:val="12"/>
      </w:numPr>
    </w:pPr>
  </w:style>
  <w:style w:type="character" w:customStyle="1" w:styleId="OpsommingChar">
    <w:name w:val="Opsomming Char"/>
    <w:basedOn w:val="GeenafstandChar"/>
    <w:link w:val="Opsomming"/>
    <w:rsid w:val="007C233E"/>
    <w:rPr>
      <w:rFonts w:asciiTheme="minorHAnsi" w:hAnsiTheme="minorHAnsi"/>
      <w:sz w:val="22"/>
      <w:szCs w:val="22"/>
    </w:rPr>
  </w:style>
  <w:style w:type="paragraph" w:customStyle="1" w:styleId="Lijstniveau1">
    <w:name w:val="Lijstniveau 1"/>
    <w:basedOn w:val="Geenafstand"/>
    <w:link w:val="Lijstniveau1Char"/>
    <w:qFormat/>
    <w:rsid w:val="007C233E"/>
    <w:pPr>
      <w:numPr>
        <w:numId w:val="13"/>
      </w:numPr>
    </w:pPr>
  </w:style>
  <w:style w:type="character" w:customStyle="1" w:styleId="Lijstniveau1Char">
    <w:name w:val="Lijstniveau 1 Char"/>
    <w:basedOn w:val="GeenafstandChar"/>
    <w:link w:val="Lijstniveau1"/>
    <w:rsid w:val="007C233E"/>
    <w:rPr>
      <w:rFonts w:asciiTheme="minorHAnsi" w:hAnsiTheme="minorHAnsi"/>
      <w:sz w:val="22"/>
      <w:szCs w:val="22"/>
    </w:rPr>
  </w:style>
  <w:style w:type="character" w:customStyle="1" w:styleId="Kop1Char">
    <w:name w:val="Kop 1 Char"/>
    <w:basedOn w:val="Standaardalinea-lettertype"/>
    <w:link w:val="Kop1"/>
    <w:uiPriority w:val="9"/>
    <w:rsid w:val="00824211"/>
    <w:rPr>
      <w:rFonts w:asciiTheme="minorHAnsi" w:eastAsiaTheme="majorEastAsia" w:hAnsiTheme="minorHAnsi" w:cstheme="majorBidi"/>
      <w:b/>
      <w:bCs/>
      <w:color w:val="97BF0D"/>
      <w:sz w:val="56"/>
      <w:szCs w:val="56"/>
    </w:rPr>
  </w:style>
  <w:style w:type="character" w:customStyle="1" w:styleId="Kop2Char">
    <w:name w:val="Kop 2 Char"/>
    <w:basedOn w:val="Standaardalinea-lettertype"/>
    <w:link w:val="Kop2"/>
    <w:uiPriority w:val="9"/>
    <w:rsid w:val="00A91C26"/>
    <w:rPr>
      <w:rFonts w:asciiTheme="minorHAnsi" w:eastAsiaTheme="majorEastAsia" w:hAnsiTheme="minorHAnsi" w:cstheme="majorBidi"/>
      <w:b/>
      <w:bCs/>
      <w:color w:val="97BF0D"/>
      <w:sz w:val="32"/>
      <w:szCs w:val="26"/>
    </w:rPr>
  </w:style>
  <w:style w:type="character" w:customStyle="1" w:styleId="Kop3Char">
    <w:name w:val="Kop 3 Char"/>
    <w:basedOn w:val="Standaardalinea-lettertype"/>
    <w:link w:val="Kop3"/>
    <w:uiPriority w:val="9"/>
    <w:rsid w:val="007C233E"/>
    <w:rPr>
      <w:rFonts w:asciiTheme="minorHAnsi" w:eastAsiaTheme="majorEastAsia" w:hAnsiTheme="minorHAnsi" w:cstheme="majorBidi"/>
      <w:b/>
      <w:bCs/>
      <w:color w:val="97BF0D"/>
      <w:sz w:val="22"/>
      <w:szCs w:val="22"/>
    </w:rPr>
  </w:style>
  <w:style w:type="character" w:customStyle="1" w:styleId="Kop4Char">
    <w:name w:val="Kop 4 Char"/>
    <w:basedOn w:val="Standaardalinea-lettertype"/>
    <w:link w:val="Kop4"/>
    <w:uiPriority w:val="9"/>
    <w:rsid w:val="007C233E"/>
    <w:rPr>
      <w:rFonts w:asciiTheme="majorHAnsi" w:eastAsiaTheme="majorEastAsia" w:hAnsiTheme="majorHAnsi" w:cstheme="majorBidi"/>
      <w:bCs/>
      <w:i/>
      <w:iCs/>
      <w:color w:val="F08A00"/>
      <w:szCs w:val="22"/>
    </w:rPr>
  </w:style>
  <w:style w:type="paragraph" w:styleId="Tekstopmerking">
    <w:name w:val="annotation text"/>
    <w:basedOn w:val="Standaard"/>
    <w:link w:val="TekstopmerkingChar"/>
    <w:uiPriority w:val="99"/>
    <w:semiHidden/>
    <w:unhideWhenUsed/>
    <w:rsid w:val="007C233E"/>
    <w:pPr>
      <w:spacing w:line="240" w:lineRule="auto"/>
    </w:pPr>
  </w:style>
  <w:style w:type="character" w:customStyle="1" w:styleId="TekstopmerkingChar">
    <w:name w:val="Tekst opmerking Char"/>
    <w:basedOn w:val="Standaardalinea-lettertype"/>
    <w:link w:val="Tekstopmerking"/>
    <w:uiPriority w:val="99"/>
    <w:semiHidden/>
    <w:rsid w:val="007C233E"/>
    <w:rPr>
      <w:rFonts w:asciiTheme="minorHAnsi" w:hAnsiTheme="minorHAnsi"/>
      <w:color w:val="000000" w:themeColor="text1"/>
      <w:sz w:val="22"/>
      <w:szCs w:val="22"/>
    </w:rPr>
  </w:style>
  <w:style w:type="paragraph" w:styleId="Koptekst">
    <w:name w:val="header"/>
    <w:basedOn w:val="Standaard"/>
    <w:link w:val="KoptekstChar"/>
    <w:uiPriority w:val="99"/>
    <w:unhideWhenUsed/>
    <w:rsid w:val="007C23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233E"/>
    <w:rPr>
      <w:rFonts w:asciiTheme="minorHAnsi" w:hAnsiTheme="minorHAnsi"/>
      <w:color w:val="000000" w:themeColor="text1"/>
      <w:sz w:val="22"/>
      <w:szCs w:val="22"/>
    </w:rPr>
  </w:style>
  <w:style w:type="paragraph" w:styleId="Voettekst">
    <w:name w:val="footer"/>
    <w:basedOn w:val="Standaard"/>
    <w:link w:val="VoettekstChar"/>
    <w:uiPriority w:val="99"/>
    <w:unhideWhenUsed/>
    <w:rsid w:val="007C233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233E"/>
    <w:rPr>
      <w:rFonts w:asciiTheme="minorHAnsi" w:hAnsiTheme="minorHAnsi"/>
      <w:color w:val="000000" w:themeColor="text1"/>
      <w:sz w:val="22"/>
      <w:szCs w:val="22"/>
    </w:rPr>
  </w:style>
  <w:style w:type="character" w:styleId="Verwijzingopmerking">
    <w:name w:val="annotation reference"/>
    <w:basedOn w:val="Standaardalinea-lettertype"/>
    <w:uiPriority w:val="99"/>
    <w:semiHidden/>
    <w:unhideWhenUsed/>
    <w:rsid w:val="007C233E"/>
    <w:rPr>
      <w:sz w:val="16"/>
      <w:szCs w:val="16"/>
    </w:rPr>
  </w:style>
  <w:style w:type="character" w:styleId="Hyperlink">
    <w:name w:val="Hyperlink"/>
    <w:basedOn w:val="Standaardalinea-lettertype"/>
    <w:uiPriority w:val="99"/>
    <w:unhideWhenUsed/>
    <w:rsid w:val="007C233E"/>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C233E"/>
    <w:rPr>
      <w:b/>
      <w:bCs/>
    </w:rPr>
  </w:style>
  <w:style w:type="character" w:customStyle="1" w:styleId="OnderwerpvanopmerkingChar">
    <w:name w:val="Onderwerp van opmerking Char"/>
    <w:basedOn w:val="TekstopmerkingChar"/>
    <w:link w:val="Onderwerpvanopmerking"/>
    <w:uiPriority w:val="99"/>
    <w:semiHidden/>
    <w:rsid w:val="007C233E"/>
    <w:rPr>
      <w:rFonts w:asciiTheme="minorHAnsi" w:hAnsiTheme="minorHAnsi"/>
      <w:b/>
      <w:bCs/>
      <w:color w:val="000000" w:themeColor="text1"/>
      <w:sz w:val="22"/>
      <w:szCs w:val="22"/>
    </w:rPr>
  </w:style>
  <w:style w:type="paragraph" w:styleId="Ballontekst">
    <w:name w:val="Balloon Text"/>
    <w:basedOn w:val="Standaard"/>
    <w:link w:val="BallontekstChar"/>
    <w:uiPriority w:val="99"/>
    <w:semiHidden/>
    <w:unhideWhenUsed/>
    <w:rsid w:val="007C233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233E"/>
    <w:rPr>
      <w:rFonts w:ascii="Tahoma" w:hAnsi="Tahoma" w:cs="Tahoma"/>
      <w:color w:val="000000" w:themeColor="text1"/>
      <w:sz w:val="16"/>
      <w:szCs w:val="16"/>
    </w:rPr>
  </w:style>
  <w:style w:type="table" w:styleId="Tabelraster">
    <w:name w:val="Table Grid"/>
    <w:basedOn w:val="Standaardtabel"/>
    <w:uiPriority w:val="59"/>
    <w:rsid w:val="007C23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7C233E"/>
    <w:rPr>
      <w:rFonts w:asciiTheme="minorHAnsi" w:hAnsiTheme="minorHAnsi"/>
      <w:sz w:val="22"/>
      <w:szCs w:val="22"/>
    </w:rPr>
  </w:style>
  <w:style w:type="paragraph" w:styleId="Lijstalinea">
    <w:name w:val="List Paragraph"/>
    <w:basedOn w:val="Standaard"/>
    <w:uiPriority w:val="34"/>
    <w:qFormat/>
    <w:rsid w:val="007C233E"/>
    <w:pPr>
      <w:ind w:left="720"/>
      <w:contextualSpacing/>
    </w:pPr>
  </w:style>
  <w:style w:type="paragraph" w:styleId="Citaat">
    <w:name w:val="Quote"/>
    <w:aliases w:val="Subtekst"/>
    <w:basedOn w:val="Standaard"/>
    <w:next w:val="Geenafstand"/>
    <w:link w:val="CitaatChar"/>
    <w:uiPriority w:val="29"/>
    <w:qFormat/>
    <w:rsid w:val="007C233E"/>
    <w:rPr>
      <w:i/>
      <w:iCs/>
      <w:sz w:val="18"/>
    </w:rPr>
  </w:style>
  <w:style w:type="character" w:customStyle="1" w:styleId="CitaatChar">
    <w:name w:val="Citaat Char"/>
    <w:aliases w:val="Subtekst Char"/>
    <w:basedOn w:val="Standaardalinea-lettertype"/>
    <w:link w:val="Citaat"/>
    <w:uiPriority w:val="29"/>
    <w:rsid w:val="007C233E"/>
    <w:rPr>
      <w:rFonts w:asciiTheme="minorHAnsi" w:hAnsiTheme="minorHAnsi"/>
      <w:i/>
      <w:iCs/>
      <w:color w:val="000000" w:themeColor="text1"/>
      <w:sz w:val="18"/>
      <w:szCs w:val="22"/>
    </w:rPr>
  </w:style>
  <w:style w:type="table" w:customStyle="1" w:styleId="Tabelraster1">
    <w:name w:val="Tabelraster1"/>
    <w:basedOn w:val="Standaardtabel"/>
    <w:next w:val="Tabelraster"/>
    <w:uiPriority w:val="59"/>
    <w:rsid w:val="00153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18f92d667bb24762" Type="http://schemas.microsoft.com/office/2019/09/relationships/intelligence" Target="intelligenc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576</Words>
  <Characters>3173</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van Ruth</dc:creator>
  <cp:keywords/>
  <dc:description/>
  <cp:lastModifiedBy>Sacha van Ruth</cp:lastModifiedBy>
  <cp:revision>16</cp:revision>
  <dcterms:created xsi:type="dcterms:W3CDTF">2021-08-31T13:59:00Z</dcterms:created>
  <dcterms:modified xsi:type="dcterms:W3CDTF">2021-10-11T09:50:00Z</dcterms:modified>
</cp:coreProperties>
</file>